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6951BD">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6951BD">
        <w:rPr>
          <w:rFonts w:ascii="Arial" w:hAnsi="Arial" w:cs="Arial" w:hint="cs"/>
          <w:sz w:val="32"/>
          <w:szCs w:val="32"/>
          <w:rtl/>
          <w:lang w:bidi="ar-EG"/>
        </w:rPr>
        <w:t>23</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6951BD">
        <w:rPr>
          <w:rFonts w:ascii="Arial" w:hAnsi="Arial" w:cs="Arial" w:hint="cs"/>
          <w:sz w:val="32"/>
          <w:szCs w:val="32"/>
          <w:rtl/>
          <w:lang w:bidi="ar-EG"/>
        </w:rPr>
        <w:t>2</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EB0C86">
        <w:rPr>
          <w:rFonts w:ascii="Arial" w:hAnsi="Arial" w:cs="Arial" w:hint="cs"/>
          <w:sz w:val="32"/>
          <w:szCs w:val="32"/>
          <w:rtl/>
          <w:lang w:bidi="ar-EG"/>
        </w:rPr>
        <w:t>2</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D42550">
        <w:rPr>
          <w:rFonts w:ascii="Arial" w:hAnsi="Arial" w:cs="Arial" w:hint="cs"/>
          <w:sz w:val="32"/>
          <w:szCs w:val="32"/>
          <w:rtl/>
          <w:lang w:bidi="ar-EG"/>
        </w:rPr>
        <w:t xml:space="preserve">محمد أبو العيون جابر على                 </w:t>
      </w:r>
      <w:r w:rsidRPr="0073745E">
        <w:rPr>
          <w:rFonts w:ascii="Arial" w:hAnsi="Arial" w:cs="Arial"/>
          <w:sz w:val="32"/>
          <w:szCs w:val="32"/>
          <w:rtl/>
          <w:lang w:bidi="ar-EG"/>
        </w:rPr>
        <w:t>نائب رئيس مجلس الدولة</w:t>
      </w:r>
    </w:p>
    <w:p w:rsidR="00175C63" w:rsidRPr="0073745E" w:rsidRDefault="00175C63" w:rsidP="0048546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Pr="0073745E">
        <w:rPr>
          <w:rFonts w:ascii="Arial" w:hAnsi="Arial" w:cs="Arial" w:hint="cs"/>
          <w:sz w:val="32"/>
          <w:szCs w:val="32"/>
          <w:rtl/>
          <w:lang w:bidi="ar-EG"/>
        </w:rPr>
        <w:tab/>
      </w:r>
      <w:r w:rsidR="00D42550">
        <w:rPr>
          <w:rFonts w:ascii="Arial" w:hAnsi="Arial" w:cs="Arial" w:hint="cs"/>
          <w:sz w:val="32"/>
          <w:szCs w:val="32"/>
          <w:rtl/>
          <w:lang w:bidi="ar-EG"/>
        </w:rPr>
        <w:t xml:space="preserve"> </w:t>
      </w:r>
      <w:r w:rsidR="00485467">
        <w:rPr>
          <w:rFonts w:ascii="Arial" w:hAnsi="Arial" w:cs="Arial" w:hint="cs"/>
          <w:sz w:val="32"/>
          <w:szCs w:val="32"/>
          <w:rtl/>
          <w:lang w:bidi="ar-EG"/>
        </w:rPr>
        <w:t>عبد الرؤ</w:t>
      </w:r>
      <w:r w:rsidR="00EB0C86">
        <w:rPr>
          <w:rFonts w:ascii="Arial" w:hAnsi="Arial" w:cs="Arial" w:hint="cs"/>
          <w:sz w:val="32"/>
          <w:szCs w:val="32"/>
          <w:rtl/>
          <w:lang w:bidi="ar-EG"/>
        </w:rPr>
        <w:t xml:space="preserve">وف محمود محمد خليفة           </w:t>
      </w:r>
      <w:r w:rsidRPr="0073745E">
        <w:rPr>
          <w:rFonts w:ascii="Arial" w:hAnsi="Arial" w:cs="Arial"/>
          <w:sz w:val="32"/>
          <w:szCs w:val="32"/>
          <w:rtl/>
          <w:lang w:bidi="ar-EG"/>
        </w:rPr>
        <w:t>نائب رئيس مجلس الدولة</w:t>
      </w:r>
    </w:p>
    <w:p w:rsidR="00827A4B" w:rsidRPr="0073745E" w:rsidRDefault="004579D0" w:rsidP="006951BD">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صبري</w:t>
      </w:r>
      <w:r w:rsidR="00EB0C86">
        <w:rPr>
          <w:rFonts w:ascii="Arial" w:hAnsi="Arial" w:cs="Arial" w:hint="cs"/>
          <w:sz w:val="32"/>
          <w:szCs w:val="32"/>
          <w:rtl/>
          <w:lang w:bidi="ar-EG"/>
        </w:rPr>
        <w:t xml:space="preserve"> </w:t>
      </w:r>
      <w:r w:rsidR="000C0D2B">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6951BD">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EB0C86">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D42550" w:rsidP="00773CB6">
          <w:pPr>
            <w:bidi/>
            <w:spacing w:line="276" w:lineRule="auto"/>
            <w:jc w:val="center"/>
            <w:rPr>
              <w:rFonts w:ascii="Arial" w:hAnsi="Arial" w:cs="Arial"/>
              <w:sz w:val="32"/>
              <w:szCs w:val="32"/>
              <w:rtl/>
            </w:rPr>
          </w:pPr>
          <w:r>
            <w:rPr>
              <w:rFonts w:ascii="Arial" w:hAnsi="Arial" w:cs="Arial" w:hint="cs"/>
              <w:sz w:val="32"/>
              <w:szCs w:val="32"/>
              <w:rtl/>
              <w:lang w:bidi="ar-EG"/>
            </w:rPr>
            <w:t xml:space="preserve">في الطعن رقم </w:t>
          </w:r>
          <w:r w:rsidR="00773CB6">
            <w:rPr>
              <w:rFonts w:ascii="Arial" w:hAnsi="Arial" w:cs="Arial" w:hint="cs"/>
              <w:sz w:val="32"/>
              <w:szCs w:val="32"/>
              <w:rtl/>
              <w:lang w:bidi="ar-EG"/>
            </w:rPr>
            <w:t>29</w:t>
          </w:r>
          <w:r>
            <w:rPr>
              <w:rFonts w:ascii="Arial" w:hAnsi="Arial" w:cs="Arial" w:hint="cs"/>
              <w:sz w:val="32"/>
              <w:szCs w:val="32"/>
              <w:rtl/>
              <w:lang w:bidi="ar-EG"/>
            </w:rPr>
            <w:t xml:space="preserve"> لسنة </w:t>
          </w:r>
          <w:r w:rsidR="00773CB6">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773CB6" w:rsidRPr="00773CB6" w:rsidRDefault="00773CB6" w:rsidP="00773CB6">
      <w:pPr>
        <w:bidi/>
        <w:spacing w:line="276" w:lineRule="auto"/>
        <w:ind w:left="-24"/>
        <w:jc w:val="center"/>
        <w:outlineLvl w:val="0"/>
        <w:rPr>
          <w:rFonts w:ascii="Arial" w:hAnsi="Arial" w:cs="Arial"/>
          <w:b/>
          <w:bCs/>
          <w:sz w:val="32"/>
          <w:szCs w:val="32"/>
          <w:rtl/>
          <w:lang w:bidi="ar-EG"/>
        </w:rPr>
      </w:pPr>
      <w:r w:rsidRPr="00773CB6">
        <w:rPr>
          <w:rFonts w:ascii="Arial" w:hAnsi="Arial" w:cs="Arial"/>
          <w:b/>
          <w:bCs/>
          <w:sz w:val="32"/>
          <w:szCs w:val="32"/>
          <w:rtl/>
          <w:lang w:bidi="ar-EG"/>
        </w:rPr>
        <w:t>المقام من:</w:t>
      </w:r>
    </w:p>
    <w:p w:rsidR="00773CB6" w:rsidRPr="00773CB6" w:rsidRDefault="00773CB6" w:rsidP="00773CB6">
      <w:pPr>
        <w:bidi/>
        <w:spacing w:line="276" w:lineRule="auto"/>
        <w:ind w:left="-24"/>
        <w:jc w:val="center"/>
        <w:outlineLvl w:val="0"/>
        <w:rPr>
          <w:rFonts w:ascii="Arial" w:hAnsi="Arial" w:cs="Arial"/>
          <w:sz w:val="32"/>
          <w:szCs w:val="32"/>
          <w:lang w:bidi="ar-EG"/>
        </w:rPr>
      </w:pPr>
      <w:r w:rsidRPr="00773CB6">
        <w:rPr>
          <w:rFonts w:ascii="Arial" w:hAnsi="Arial" w:cs="Arial"/>
          <w:sz w:val="32"/>
          <w:szCs w:val="32"/>
          <w:rtl/>
          <w:lang w:bidi="ar-EG"/>
        </w:rPr>
        <w:t xml:space="preserve"> جيهان صادق عبدالرحيم علي الدين .</w:t>
      </w:r>
    </w:p>
    <w:p w:rsidR="00773CB6" w:rsidRPr="00773CB6" w:rsidRDefault="00773CB6" w:rsidP="00773CB6">
      <w:pPr>
        <w:bidi/>
        <w:spacing w:line="276" w:lineRule="auto"/>
        <w:ind w:left="-24"/>
        <w:jc w:val="center"/>
        <w:outlineLvl w:val="0"/>
        <w:rPr>
          <w:rFonts w:ascii="Arial" w:hAnsi="Arial" w:cs="Arial"/>
          <w:b/>
          <w:bCs/>
          <w:sz w:val="32"/>
          <w:szCs w:val="32"/>
          <w:rtl/>
        </w:rPr>
      </w:pPr>
      <w:r w:rsidRPr="00773CB6">
        <w:rPr>
          <w:rFonts w:ascii="Arial" w:hAnsi="Arial" w:cs="Arial"/>
          <w:b/>
          <w:bCs/>
          <w:sz w:val="32"/>
          <w:szCs w:val="32"/>
          <w:rtl/>
          <w:lang w:bidi="ar-EG"/>
        </w:rPr>
        <w:t>ضــــــــــــــد</w:t>
      </w:r>
    </w:p>
    <w:p w:rsidR="00773CB6" w:rsidRPr="00773CB6" w:rsidRDefault="00773CB6" w:rsidP="00773CB6">
      <w:pPr>
        <w:pStyle w:val="a9"/>
        <w:numPr>
          <w:ilvl w:val="0"/>
          <w:numId w:val="35"/>
        </w:numPr>
        <w:bidi/>
        <w:spacing w:line="276" w:lineRule="auto"/>
        <w:jc w:val="center"/>
        <w:outlineLvl w:val="0"/>
        <w:rPr>
          <w:rFonts w:ascii="Arial" w:hAnsi="Arial" w:cs="Arial"/>
          <w:sz w:val="32"/>
          <w:szCs w:val="32"/>
          <w:rtl/>
        </w:rPr>
      </w:pPr>
      <w:r w:rsidRPr="00773CB6">
        <w:rPr>
          <w:rFonts w:ascii="Arial" w:hAnsi="Arial" w:cs="Arial"/>
          <w:sz w:val="32"/>
          <w:szCs w:val="32"/>
          <w:rtl/>
        </w:rPr>
        <w:t>مدير النيابة الادارية  2- وزير العدل  3- وزير التضامن الاجتماعي</w:t>
      </w:r>
      <w:r w:rsidRPr="00773CB6">
        <w:rPr>
          <w:rFonts w:ascii="Arial" w:hAnsi="Arial" w:cs="Arial"/>
          <w:sz w:val="32"/>
          <w:szCs w:val="32"/>
          <w:rtl/>
        </w:rPr>
        <w:br/>
        <w:t xml:space="preserve"> 4- رئيس الهيئة القومية للتأمين الاجتماعي , بصفاتهم.</w:t>
      </w:r>
    </w:p>
    <w:p w:rsidR="00773CB6" w:rsidRPr="00773CB6" w:rsidRDefault="00773CB6" w:rsidP="00773CB6">
      <w:pPr>
        <w:pStyle w:val="a9"/>
        <w:bidi/>
        <w:ind w:left="348"/>
        <w:outlineLvl w:val="0"/>
        <w:rPr>
          <w:rFonts w:ascii="Arial" w:hAnsi="Arial" w:cs="Arial"/>
          <w:sz w:val="32"/>
          <w:szCs w:val="32"/>
          <w:rtl/>
        </w:rPr>
      </w:pPr>
    </w:p>
    <w:p w:rsidR="00773CB6" w:rsidRPr="00773CB6" w:rsidRDefault="00773CB6" w:rsidP="00773CB6">
      <w:pPr>
        <w:bidi/>
        <w:ind w:left="-24"/>
        <w:outlineLvl w:val="0"/>
        <w:rPr>
          <w:rFonts w:ascii="Arial" w:hAnsi="Arial" w:cs="Arial"/>
          <w:b/>
          <w:bCs/>
          <w:sz w:val="32"/>
          <w:szCs w:val="32"/>
          <w:rtl/>
        </w:rPr>
      </w:pPr>
      <w:r w:rsidRPr="00773CB6">
        <w:rPr>
          <w:rFonts w:ascii="Arial" w:hAnsi="Arial" w:cs="Arial"/>
          <w:b/>
          <w:bCs/>
          <w:sz w:val="32"/>
          <w:szCs w:val="32"/>
          <w:u w:val="single"/>
          <w:rtl/>
        </w:rPr>
        <w:t>الوقائع</w:t>
      </w:r>
    </w:p>
    <w:p w:rsidR="00773CB6" w:rsidRPr="00773CB6" w:rsidRDefault="00773CB6" w:rsidP="00773CB6">
      <w:pPr>
        <w:bidi/>
        <w:spacing w:after="240"/>
        <w:ind w:left="-24" w:firstLine="567"/>
        <w:jc w:val="both"/>
        <w:rPr>
          <w:rFonts w:ascii="Arial" w:hAnsi="Arial"/>
          <w:sz w:val="32"/>
          <w:szCs w:val="32"/>
          <w:rtl/>
        </w:rPr>
      </w:pPr>
      <w:r w:rsidRPr="00773CB6">
        <w:rPr>
          <w:rFonts w:ascii="Arial" w:hAnsi="Arial"/>
          <w:sz w:val="32"/>
          <w:szCs w:val="32"/>
          <w:rtl/>
        </w:rPr>
        <w:t>أقامت الطاعنة طعنها الماثل بإيداع صحيفتها قلم كتاب هذه المحكمة بتاريخ 1/12/2021 طالب</w:t>
      </w:r>
      <w:r w:rsidRPr="00773CB6">
        <w:rPr>
          <w:rFonts w:ascii="Arial" w:hAnsi="Arial"/>
          <w:color w:val="FF0000"/>
          <w:sz w:val="32"/>
          <w:szCs w:val="32"/>
          <w:rtl/>
        </w:rPr>
        <w:t>ة</w:t>
      </w:r>
      <w:r w:rsidRPr="00773CB6">
        <w:rPr>
          <w:rFonts w:ascii="Arial" w:hAnsi="Arial"/>
          <w:sz w:val="32"/>
          <w:szCs w:val="32"/>
          <w:rtl/>
        </w:rPr>
        <w:t xml:space="preserve"> في ختامها الحكم بقبول الطعن شكلا، وفي الموضوع </w:t>
      </w:r>
      <w:r w:rsidRPr="00773CB6">
        <w:rPr>
          <w:rFonts w:ascii="Arial" w:hAnsi="Arial" w:hint="cs"/>
          <w:sz w:val="32"/>
          <w:szCs w:val="32"/>
          <w:rtl/>
        </w:rPr>
        <w:t>بإلغاء</w:t>
      </w:r>
      <w:r w:rsidRPr="00773CB6">
        <w:rPr>
          <w:rFonts w:ascii="Arial" w:hAnsi="Arial"/>
          <w:sz w:val="32"/>
          <w:szCs w:val="32"/>
          <w:rtl/>
        </w:rPr>
        <w:t xml:space="preserve"> القرار الصادر بمجازاة الطاعنة  بعقوبة التنبيه  بالقرار رقم 461  لسنة 2021 الصادر في 29/5/2021 , مع ما يترتب علي ذلك من اثار , وإلزام الجهة الادارية المصروفات.</w:t>
      </w:r>
    </w:p>
    <w:p w:rsidR="00773CB6" w:rsidRPr="00773CB6" w:rsidRDefault="00773CB6" w:rsidP="00773CB6">
      <w:pPr>
        <w:bidi/>
        <w:spacing w:after="240"/>
        <w:ind w:left="-24" w:firstLine="567"/>
        <w:jc w:val="both"/>
        <w:rPr>
          <w:rFonts w:ascii="Arial" w:hAnsi="Arial" w:cs="Arial"/>
          <w:color w:val="000000"/>
          <w:sz w:val="32"/>
          <w:szCs w:val="32"/>
          <w:rtl/>
          <w:lang w:bidi="ar-EG"/>
        </w:rPr>
      </w:pPr>
      <w:r w:rsidRPr="00773CB6">
        <w:rPr>
          <w:rFonts w:ascii="Arial" w:hAnsi="Arial" w:cs="Arial"/>
          <w:sz w:val="32"/>
          <w:szCs w:val="32"/>
          <w:rtl/>
          <w:lang w:bidi="ar-EG"/>
        </w:rPr>
        <w:t>وذكرت الطاعنة شرحا لطعنها, أنها تشغل مدير عام منطقة شرق سوهاج ,وبتاريخ 29/5/2021 صدر قرار لجنة التأديب  رقم 461 لسنة 2021 متضمنا مجازاتها بعقوبة التنبيه لما نسب اليها من خروجها علي مقتضي الواجب الوظيفي بجمعها توقيعات من العاملين بمنطقة تأمينات البحر الأحمر لنفي تهمة السرقة عن العاملة فوزية سيد دون إذن من جهة الاختصاص علي النحو المبين تفصيلا بصحيف</w:t>
      </w:r>
      <w:r w:rsidRPr="00773CB6">
        <w:rPr>
          <w:rFonts w:ascii="Arial" w:hAnsi="Arial" w:cs="Arial"/>
          <w:color w:val="000000"/>
          <w:sz w:val="32"/>
          <w:szCs w:val="32"/>
          <w:rtl/>
          <w:lang w:bidi="ar-EG"/>
        </w:rPr>
        <w:t>ة الطعن , وإذ نعت الطاعنة على القرار المطعون فيه صدوره دون أساس من القانون ,فقد لجأت إلي لجنة التوفيق في بعض المنازعات المختصة، ثم أقامت طعنها الماثل بطلباتها آنفة البيان.</w:t>
      </w:r>
    </w:p>
    <w:p w:rsidR="00773CB6" w:rsidRPr="00773CB6" w:rsidRDefault="00773CB6" w:rsidP="00773CB6">
      <w:pPr>
        <w:bidi/>
        <w:spacing w:after="240"/>
        <w:ind w:left="-24" w:firstLine="567"/>
        <w:jc w:val="both"/>
        <w:rPr>
          <w:rFonts w:ascii="Arial" w:hAnsi="Arial" w:cs="Arial"/>
          <w:color w:val="000000"/>
          <w:sz w:val="32"/>
          <w:szCs w:val="32"/>
          <w:rtl/>
          <w:lang w:bidi="ar-AE"/>
        </w:rPr>
      </w:pPr>
      <w:r w:rsidRPr="00773CB6">
        <w:rPr>
          <w:rFonts w:ascii="Arial" w:hAnsi="Arial" w:cs="Arial"/>
          <w:color w:val="000000"/>
          <w:sz w:val="32"/>
          <w:szCs w:val="32"/>
          <w:rtl/>
          <w:lang w:bidi="ar-EG"/>
        </w:rPr>
        <w:t xml:space="preserve">وتحدد لنظر الطعن أمام المحكمة جلسة 5/1/2022،وقررت المحكمة تأجيله لجلسة 26/1/2022 لتقوم الطاعنة بإعلان جهة الادارة المطعون </w:t>
      </w:r>
      <w:r w:rsidRPr="00773CB6">
        <w:rPr>
          <w:rFonts w:ascii="Arial" w:hAnsi="Arial" w:cs="Arial"/>
          <w:color w:val="FF0000"/>
          <w:sz w:val="32"/>
          <w:szCs w:val="32"/>
          <w:rtl/>
          <w:lang w:bidi="ar-EG"/>
        </w:rPr>
        <w:t>ضدها بأصل صحيفة الطعن</w:t>
      </w:r>
      <w:r w:rsidRPr="00773CB6">
        <w:rPr>
          <w:rFonts w:ascii="Arial" w:hAnsi="Arial" w:cs="Arial"/>
          <w:color w:val="000000"/>
          <w:sz w:val="32"/>
          <w:szCs w:val="32"/>
          <w:rtl/>
          <w:lang w:bidi="ar-EG"/>
        </w:rPr>
        <w:t xml:space="preserve">, وبذات الجلسة </w:t>
      </w:r>
      <w:r w:rsidRPr="00773CB6">
        <w:rPr>
          <w:rFonts w:ascii="Arial" w:hAnsi="Arial" w:cs="Arial"/>
          <w:color w:val="000000"/>
          <w:sz w:val="32"/>
          <w:szCs w:val="32"/>
          <w:rtl/>
        </w:rPr>
        <w:t>قررت المحكمة حجز الطعن للحكم بجلسة اليوم</w:t>
      </w:r>
      <w:r w:rsidRPr="00773CB6">
        <w:rPr>
          <w:rFonts w:ascii="Arial" w:hAnsi="Arial" w:cs="Arial"/>
          <w:color w:val="000000"/>
          <w:sz w:val="32"/>
          <w:szCs w:val="32"/>
          <w:rtl/>
          <w:lang w:bidi="ar-EG"/>
        </w:rPr>
        <w:t xml:space="preserve">، </w:t>
      </w:r>
      <w:r w:rsidRPr="00773CB6">
        <w:rPr>
          <w:rFonts w:ascii="Arial" w:hAnsi="Arial" w:cs="Arial"/>
          <w:color w:val="000000"/>
          <w:sz w:val="32"/>
          <w:szCs w:val="32"/>
          <w:rtl/>
        </w:rPr>
        <w:t xml:space="preserve">وبها </w:t>
      </w:r>
      <w:r w:rsidRPr="00773CB6">
        <w:rPr>
          <w:rFonts w:ascii="Arial" w:hAnsi="Arial" w:cs="Arial"/>
          <w:color w:val="000000"/>
          <w:sz w:val="32"/>
          <w:szCs w:val="32"/>
          <w:rtl/>
          <w:lang w:bidi="ar-AE"/>
        </w:rPr>
        <w:t>صدر الحكم وأودعت مسودته متضمنه أسبابه عند النطق به.</w:t>
      </w:r>
    </w:p>
    <w:p w:rsidR="00773CB6" w:rsidRPr="00773CB6" w:rsidRDefault="00773CB6" w:rsidP="00773CB6">
      <w:pPr>
        <w:bidi/>
        <w:spacing w:after="240"/>
        <w:ind w:left="-24" w:firstLine="567"/>
        <w:jc w:val="center"/>
        <w:outlineLvl w:val="0"/>
        <w:rPr>
          <w:rFonts w:ascii="Arial" w:hAnsi="Arial" w:cs="Arial"/>
          <w:b/>
          <w:bCs/>
          <w:sz w:val="32"/>
          <w:szCs w:val="32"/>
          <w:u w:val="single"/>
          <w:rtl/>
        </w:rPr>
      </w:pPr>
      <w:r w:rsidRPr="00773CB6">
        <w:rPr>
          <w:rFonts w:ascii="Arial" w:hAnsi="Arial" w:cs="Arial"/>
          <w:b/>
          <w:bCs/>
          <w:sz w:val="32"/>
          <w:szCs w:val="32"/>
          <w:u w:val="single"/>
          <w:rtl/>
        </w:rPr>
        <w:t>المحكمة</w:t>
      </w:r>
    </w:p>
    <w:p w:rsidR="00773CB6" w:rsidRPr="00773CB6" w:rsidRDefault="00773CB6" w:rsidP="00773CB6">
      <w:pPr>
        <w:bidi/>
        <w:spacing w:after="240"/>
        <w:ind w:firstLine="567"/>
        <w:outlineLvl w:val="0"/>
        <w:rPr>
          <w:rFonts w:ascii="Arial" w:hAnsi="Arial" w:cs="Arial"/>
          <w:sz w:val="32"/>
          <w:szCs w:val="32"/>
          <w:rtl/>
          <w:lang w:bidi="ar-EG"/>
        </w:rPr>
      </w:pPr>
      <w:r w:rsidRPr="00773CB6">
        <w:rPr>
          <w:rFonts w:ascii="Arial" w:hAnsi="Arial" w:cs="Arial"/>
          <w:sz w:val="32"/>
          <w:szCs w:val="32"/>
          <w:rtl/>
        </w:rPr>
        <w:t>بعد الاطلاع على الأوراق وسماع الإيضاحات والمداولة قانوناً</w:t>
      </w:r>
    </w:p>
    <w:p w:rsidR="00773CB6" w:rsidRPr="00773CB6" w:rsidRDefault="00773CB6" w:rsidP="00773CB6">
      <w:pPr>
        <w:bidi/>
        <w:spacing w:after="240"/>
        <w:ind w:left="-24" w:firstLine="567"/>
        <w:jc w:val="both"/>
        <w:rPr>
          <w:rFonts w:ascii="Arial" w:hAnsi="Arial"/>
          <w:sz w:val="32"/>
          <w:szCs w:val="32"/>
          <w:rtl/>
        </w:rPr>
      </w:pPr>
      <w:r w:rsidRPr="00773CB6">
        <w:rPr>
          <w:rFonts w:ascii="Arial" w:hAnsi="Arial"/>
          <w:sz w:val="32"/>
          <w:szCs w:val="32"/>
          <w:rtl/>
          <w:lang w:bidi="ar-EG"/>
        </w:rPr>
        <w:lastRenderedPageBreak/>
        <w:t xml:space="preserve">ومن حيث إن الطاعنة تطلب الحكم بقبول الطعن شكلا، وفي الموضوع </w:t>
      </w:r>
      <w:r w:rsidRPr="00773CB6">
        <w:rPr>
          <w:rFonts w:ascii="Arial" w:hAnsi="Arial"/>
          <w:sz w:val="32"/>
          <w:szCs w:val="32"/>
          <w:rtl/>
        </w:rPr>
        <w:t>بالغاء القرار المطعون فيه رقم 461 لسنة 2021 الصادر من لجنة التأديب بهيئة النيابة الادارية  فيما تضمنه من مجازاة الطاعنة بعقوبة التنبيه , مع ما يترتب علي ذلك من اثار , وإلزام الجهة الادارية المصروفات.</w:t>
      </w:r>
    </w:p>
    <w:p w:rsidR="00773CB6" w:rsidRPr="00773CB6" w:rsidRDefault="00773CB6" w:rsidP="00773CB6">
      <w:pPr>
        <w:bidi/>
        <w:spacing w:after="240"/>
        <w:ind w:left="-24" w:firstLine="567"/>
        <w:jc w:val="both"/>
        <w:rPr>
          <w:rFonts w:ascii="Arial" w:hAnsi="Arial" w:cs="Arial"/>
          <w:sz w:val="32"/>
          <w:szCs w:val="32"/>
          <w:rtl/>
          <w:lang w:bidi="ar-EG"/>
        </w:rPr>
      </w:pPr>
      <w:r w:rsidRPr="00773CB6">
        <w:rPr>
          <w:rFonts w:ascii="Arial" w:hAnsi="Arial" w:cs="Arial"/>
          <w:sz w:val="32"/>
          <w:szCs w:val="32"/>
          <w:rtl/>
          <w:lang w:bidi="ar-EG"/>
        </w:rPr>
        <w:t xml:space="preserve">ومن حيث إن </w:t>
      </w:r>
      <w:r w:rsidRPr="00773CB6">
        <w:rPr>
          <w:rFonts w:ascii="Arial" w:hAnsi="Arial" w:cs="Arial"/>
          <w:sz w:val="32"/>
          <w:szCs w:val="32"/>
          <w:rtl/>
        </w:rPr>
        <w:t xml:space="preserve">المادة (3) من قانون مجلس الدولة الصادر بالقانون رقم 47 لسنة 1972 تنص على أن " تطبق الإجراءات المنصوص عليها في هذا القانون، وتطبق أحكام قانون المرافعات فيما لم يرد فيه نص وذلك إلى أن يصدر قانون بالإجراءات الخاصة بالقسم القضائي". </w:t>
      </w:r>
    </w:p>
    <w:p w:rsidR="00773CB6" w:rsidRPr="00773CB6" w:rsidRDefault="00773CB6" w:rsidP="00773CB6">
      <w:pPr>
        <w:bidi/>
        <w:spacing w:after="240"/>
        <w:ind w:left="-24" w:firstLine="567"/>
        <w:jc w:val="both"/>
        <w:rPr>
          <w:rFonts w:ascii="Arial" w:hAnsi="Arial" w:cs="Arial"/>
          <w:sz w:val="32"/>
          <w:szCs w:val="32"/>
          <w:rtl/>
        </w:rPr>
      </w:pPr>
      <w:r w:rsidRPr="00773CB6">
        <w:rPr>
          <w:rFonts w:ascii="Arial" w:hAnsi="Arial" w:cs="Arial"/>
          <w:sz w:val="32"/>
          <w:szCs w:val="32"/>
          <w:rtl/>
        </w:rPr>
        <w:t xml:space="preserve">وتنص </w:t>
      </w:r>
      <w:r w:rsidRPr="00773CB6">
        <w:rPr>
          <w:rFonts w:ascii="Arial" w:hAnsi="Arial" w:cs="Arial"/>
          <w:sz w:val="32"/>
          <w:szCs w:val="32"/>
          <w:rtl/>
          <w:lang w:bidi="ar-EG"/>
        </w:rPr>
        <w:t xml:space="preserve">المادة (25) من القانون ذاته على أن " </w:t>
      </w:r>
      <w:r w:rsidRPr="00773CB6">
        <w:rPr>
          <w:rFonts w:ascii="Arial" w:hAnsi="Arial" w:cs="Arial"/>
          <w:sz w:val="32"/>
          <w:szCs w:val="32"/>
          <w:rtl/>
        </w:rPr>
        <w:t>يقدم الطلب إلى قلم كتاب المحكمة المختصة بعريضة موقعة من محام ... وتتضمن العريضة عدا البيانات العامة المتعلقة باسم الطالب، ومن يوجه إليهم الطلب، وصفاتهم، ومحال إقامتهم، .....".</w:t>
      </w:r>
    </w:p>
    <w:p w:rsidR="00773CB6" w:rsidRPr="00773CB6" w:rsidRDefault="00773CB6" w:rsidP="00773CB6">
      <w:pPr>
        <w:autoSpaceDE w:val="0"/>
        <w:autoSpaceDN w:val="0"/>
        <w:bidi/>
        <w:adjustRightInd w:val="0"/>
        <w:spacing w:after="240"/>
        <w:ind w:left="-24" w:firstLine="567"/>
        <w:jc w:val="both"/>
        <w:rPr>
          <w:rFonts w:ascii="Arial" w:hAnsi="Arial" w:cs="Arial"/>
          <w:color w:val="000000"/>
          <w:sz w:val="32"/>
          <w:szCs w:val="32"/>
        </w:rPr>
      </w:pPr>
      <w:r w:rsidRPr="00773CB6">
        <w:rPr>
          <w:rFonts w:ascii="Arial" w:hAnsi="Arial" w:cs="Arial"/>
          <w:sz w:val="32"/>
          <w:szCs w:val="32"/>
          <w:rtl/>
        </w:rPr>
        <w:t xml:space="preserve">ومن حيث إن المادة (13) من قانون المرافعات المدنية والتجارية الصادر بالقانون رقم 13لسنة1968 تنص على أن " </w:t>
      </w:r>
      <w:r w:rsidRPr="00773CB6">
        <w:rPr>
          <w:rFonts w:ascii="Arial" w:hAnsi="Arial" w:cs="Arial"/>
          <w:color w:val="000000"/>
          <w:sz w:val="32"/>
          <w:szCs w:val="32"/>
          <w:rtl/>
        </w:rPr>
        <w:t>فيما عدا ما نص عليه في قوانين خاصة تسلم صورة الإعلان على الوجه الآتي:</w:t>
      </w:r>
    </w:p>
    <w:p w:rsidR="00773CB6" w:rsidRPr="00773CB6" w:rsidRDefault="00773CB6" w:rsidP="00773CB6">
      <w:pPr>
        <w:autoSpaceDE w:val="0"/>
        <w:autoSpaceDN w:val="0"/>
        <w:bidi/>
        <w:adjustRightInd w:val="0"/>
        <w:spacing w:after="240"/>
        <w:ind w:left="-24" w:firstLine="567"/>
        <w:jc w:val="both"/>
        <w:rPr>
          <w:rFonts w:ascii="Arial" w:hAnsi="Arial" w:cs="Arial"/>
          <w:color w:val="000000"/>
          <w:sz w:val="32"/>
          <w:szCs w:val="32"/>
          <w:rtl/>
        </w:rPr>
      </w:pPr>
      <w:r w:rsidRPr="00773CB6">
        <w:rPr>
          <w:rFonts w:ascii="Arial" w:hAnsi="Arial" w:cs="Arial"/>
          <w:color w:val="000000"/>
          <w:sz w:val="32"/>
          <w:szCs w:val="32"/>
          <w:rtl/>
        </w:rPr>
        <w:t>(1) ما يتعلق بالدولة يُسلم للوزراء ومديري المصالح المختصة والمحافظين أو لمن يقوم مقامهم فيما عدا صحف الدعاوى وصحف الطعون والأحكام فتُسلم الصورة إلى هيئة قضايا الدولة أو فروعها بالأقاليم حسب الاختصاص المحلي لكل منها.</w:t>
      </w:r>
    </w:p>
    <w:p w:rsidR="00773CB6" w:rsidRPr="00773CB6" w:rsidRDefault="00773CB6" w:rsidP="00773CB6">
      <w:pPr>
        <w:autoSpaceDE w:val="0"/>
        <w:autoSpaceDN w:val="0"/>
        <w:bidi/>
        <w:adjustRightInd w:val="0"/>
        <w:spacing w:after="240"/>
        <w:ind w:left="-24" w:firstLine="567"/>
        <w:jc w:val="both"/>
        <w:rPr>
          <w:rFonts w:ascii="Arial" w:hAnsi="Arial" w:cs="Arial"/>
          <w:color w:val="000000"/>
          <w:sz w:val="32"/>
          <w:szCs w:val="32"/>
          <w:rtl/>
        </w:rPr>
      </w:pPr>
      <w:r w:rsidRPr="00773CB6">
        <w:rPr>
          <w:rFonts w:ascii="Arial" w:hAnsi="Arial" w:cs="Arial"/>
          <w:color w:val="000000"/>
          <w:sz w:val="32"/>
          <w:szCs w:val="32"/>
          <w:rtl/>
        </w:rPr>
        <w:t>(2) ما يتعلق بالأشخاص العامة يُسلم للنائب عنها قانوناً أو لمن يقوم مقامه فيما عدا صحف الدعاوى وصحف الطعون والأحكام فتُسلم الصورة إلى هيئة قضايا الدولة أو فروعها بالأقاليم حسب الاختصاص المحلي لكل منها.</w:t>
      </w:r>
      <w:r w:rsidRPr="00773CB6">
        <w:rPr>
          <w:rFonts w:ascii="Arial" w:hAnsi="Arial" w:cs="Arial"/>
          <w:sz w:val="32"/>
          <w:szCs w:val="32"/>
          <w:rtl/>
        </w:rPr>
        <w:t>....................................................................... ".</w:t>
      </w:r>
    </w:p>
    <w:p w:rsidR="00773CB6" w:rsidRPr="00773CB6" w:rsidRDefault="00773CB6" w:rsidP="00773CB6">
      <w:pPr>
        <w:bidi/>
        <w:spacing w:after="240"/>
        <w:ind w:left="-24" w:firstLine="567"/>
        <w:jc w:val="both"/>
        <w:rPr>
          <w:rFonts w:ascii="Arial" w:hAnsi="Arial" w:cs="Arial"/>
          <w:sz w:val="32"/>
          <w:szCs w:val="32"/>
          <w:rtl/>
        </w:rPr>
      </w:pPr>
      <w:r w:rsidRPr="00773CB6">
        <w:rPr>
          <w:rFonts w:ascii="Arial" w:hAnsi="Arial" w:cs="Arial"/>
          <w:sz w:val="32"/>
          <w:szCs w:val="32"/>
          <w:rtl/>
        </w:rPr>
        <w:t>وتنص المادة (68) منه على أنه ".. ولا تعتبر الخصومة منعقدة في الدعوى إلا بإعلان صحيفتها إلى المدعى عليه ما لم يحضر بالجلسة</w:t>
      </w:r>
      <w:r w:rsidRPr="00773CB6">
        <w:rPr>
          <w:rFonts w:ascii="Arial" w:hAnsi="Arial" w:cs="Arial"/>
          <w:sz w:val="32"/>
          <w:szCs w:val="32"/>
        </w:rPr>
        <w:t> </w:t>
      </w:r>
      <w:r w:rsidRPr="00773CB6">
        <w:rPr>
          <w:rFonts w:ascii="Arial" w:hAnsi="Arial" w:cs="Arial"/>
          <w:sz w:val="32"/>
          <w:szCs w:val="32"/>
          <w:rtl/>
        </w:rPr>
        <w:t>".</w:t>
      </w:r>
    </w:p>
    <w:p w:rsidR="00773CB6" w:rsidRPr="00773CB6" w:rsidRDefault="00773CB6" w:rsidP="00773CB6">
      <w:pPr>
        <w:bidi/>
        <w:spacing w:after="240"/>
        <w:ind w:left="-24" w:firstLine="567"/>
        <w:jc w:val="both"/>
        <w:rPr>
          <w:rFonts w:ascii="Arial" w:hAnsi="Arial" w:cs="Arial"/>
          <w:sz w:val="32"/>
          <w:szCs w:val="32"/>
          <w:rtl/>
        </w:rPr>
      </w:pPr>
      <w:r w:rsidRPr="00773CB6">
        <w:rPr>
          <w:rFonts w:ascii="Arial" w:hAnsi="Arial" w:cs="Arial"/>
          <w:sz w:val="32"/>
          <w:szCs w:val="32"/>
          <w:rtl/>
          <w:lang w:bidi="ar-EG"/>
        </w:rPr>
        <w:t xml:space="preserve">ومن حيث إنه من المقرر </w:t>
      </w:r>
      <w:r w:rsidRPr="00773CB6">
        <w:rPr>
          <w:rFonts w:ascii="Arial" w:hAnsi="Arial" w:cs="Arial"/>
          <w:color w:val="000000"/>
          <w:sz w:val="32"/>
          <w:szCs w:val="32"/>
          <w:rtl/>
        </w:rPr>
        <w:t>أن المشرع قد نظم على وجه قانوني إجراء جوهريا من إجراءات إقامة الدعوى أو الطعن وهو الإعلان سواء للجهة الإدارية أو ذوي الشأن وتضمن بيان أهمية الإخطار بالجلسة حتى تنعقد الخصومة صحيحة ذلك أن الدستور قد حرص على النص على كفالة حق الدفاع أصليا وبالوكالة لجميع المواطنين ويمثل ذلك أصلا عاما من أصول التقاضي سواء أمام القضاء العادي أو قضاء مجلس الدولة فلا خصومة بدون طرفين يباشر كل منهما حق الدفاع كاملا في ساحة العدالة ومن ثم يترتب على إهمال هذا الأصل العام والأساسي الجوهري من أسس التقاضي وإهداره عدم انعقاد الخصومة، وإذا لم يتم تصحيح هذا الإهدار يترتب عليه وقوع عيب شكلي جوهري في الإجراءات يخالفه النظام العام للتقاضي بإهداره حق أساسي كفله الدستور وهو حق الدفاع.</w:t>
      </w:r>
      <w:r w:rsidRPr="00773CB6">
        <w:rPr>
          <w:rFonts w:ascii="Arial" w:hAnsi="Arial" w:cs="Arial"/>
          <w:sz w:val="32"/>
          <w:szCs w:val="32"/>
          <w:rtl/>
          <w:lang w:bidi="ar-EG"/>
        </w:rPr>
        <w:t xml:space="preserve">( حكم المحكمة الادارية العليا - </w:t>
      </w:r>
      <w:r w:rsidRPr="00773CB6">
        <w:rPr>
          <w:rFonts w:ascii="Arial" w:hAnsi="Arial" w:cs="Arial"/>
          <w:sz w:val="32"/>
          <w:szCs w:val="32"/>
          <w:rtl/>
        </w:rPr>
        <w:t xml:space="preserve">في الطعن رقم 4031 لسنة 44 ق.ع </w:t>
      </w:r>
      <w:r w:rsidRPr="00773CB6">
        <w:rPr>
          <w:rFonts w:ascii="Arial" w:hAnsi="Arial" w:cs="Arial"/>
          <w:sz w:val="32"/>
          <w:szCs w:val="32"/>
          <w:rtl/>
          <w:lang w:bidi="ar-EG"/>
        </w:rPr>
        <w:t>– بجلسة 18 / 11 /2017).</w:t>
      </w:r>
    </w:p>
    <w:p w:rsidR="00773CB6" w:rsidRPr="00773CB6" w:rsidRDefault="00773CB6" w:rsidP="00773CB6">
      <w:pPr>
        <w:bidi/>
        <w:spacing w:after="240"/>
        <w:ind w:left="-24" w:firstLine="567"/>
        <w:jc w:val="both"/>
        <w:rPr>
          <w:rFonts w:ascii="Arial" w:hAnsi="Arial" w:cs="Arial"/>
          <w:sz w:val="32"/>
          <w:szCs w:val="32"/>
          <w:rtl/>
          <w:lang w:bidi="ar-EG"/>
        </w:rPr>
      </w:pPr>
      <w:r w:rsidRPr="00773CB6">
        <w:rPr>
          <w:rFonts w:ascii="Arial" w:hAnsi="Arial" w:cs="Arial"/>
          <w:color w:val="FF0000"/>
          <w:sz w:val="32"/>
          <w:szCs w:val="32"/>
          <w:rtl/>
          <w:lang w:bidi="ar-EG"/>
        </w:rPr>
        <w:t xml:space="preserve">ومن حيث إنه متى كان ما تقدم، </w:t>
      </w:r>
      <w:r w:rsidRPr="00773CB6">
        <w:rPr>
          <w:rFonts w:ascii="Arial" w:hAnsi="Arial" w:cs="Arial"/>
          <w:sz w:val="32"/>
          <w:szCs w:val="32"/>
          <w:rtl/>
          <w:lang w:bidi="ar-EG"/>
        </w:rPr>
        <w:t>وكان الثابت بالأوراق أن الطاعنة قد أقامت طعنها الماثل بموجب صحيفة اختصمت فيها المطعون ضدهم مطالب</w:t>
      </w:r>
      <w:r w:rsidRPr="00773CB6">
        <w:rPr>
          <w:rFonts w:ascii="Arial" w:hAnsi="Arial" w:cs="Arial"/>
          <w:color w:val="FF0000"/>
          <w:sz w:val="32"/>
          <w:szCs w:val="32"/>
          <w:rtl/>
          <w:lang w:bidi="ar-EG"/>
        </w:rPr>
        <w:t>ة</w:t>
      </w:r>
      <w:r w:rsidRPr="00773CB6">
        <w:rPr>
          <w:rFonts w:ascii="Arial" w:hAnsi="Arial" w:cs="Arial"/>
          <w:sz w:val="32"/>
          <w:szCs w:val="32"/>
          <w:rtl/>
          <w:lang w:bidi="ar-EG"/>
        </w:rPr>
        <w:t xml:space="preserve"> </w:t>
      </w:r>
      <w:r w:rsidRPr="00773CB6">
        <w:rPr>
          <w:rFonts w:ascii="Arial" w:hAnsi="Arial" w:cs="Arial" w:hint="cs"/>
          <w:sz w:val="32"/>
          <w:szCs w:val="32"/>
          <w:rtl/>
          <w:lang w:bidi="ar-EG"/>
        </w:rPr>
        <w:t>بإلغاء</w:t>
      </w:r>
      <w:r w:rsidRPr="00773CB6">
        <w:rPr>
          <w:rFonts w:ascii="Arial" w:hAnsi="Arial" w:cs="Arial"/>
          <w:sz w:val="32"/>
          <w:szCs w:val="32"/>
          <w:rtl/>
          <w:lang w:bidi="ar-EG"/>
        </w:rPr>
        <w:t xml:space="preserve"> قرار الجزاء الصادر بحقها، وتبين للمحكمة بالاطلاع على </w:t>
      </w:r>
      <w:r w:rsidRPr="00773CB6">
        <w:rPr>
          <w:rFonts w:ascii="Arial" w:hAnsi="Arial" w:cs="Arial"/>
          <w:color w:val="FF0000"/>
          <w:sz w:val="32"/>
          <w:szCs w:val="32"/>
          <w:rtl/>
          <w:lang w:bidi="ar-EG"/>
        </w:rPr>
        <w:t xml:space="preserve">أصل </w:t>
      </w:r>
      <w:r w:rsidRPr="00773CB6">
        <w:rPr>
          <w:rFonts w:ascii="Arial" w:hAnsi="Arial" w:cs="Arial"/>
          <w:sz w:val="32"/>
          <w:szCs w:val="32"/>
          <w:rtl/>
          <w:lang w:bidi="ar-EG"/>
        </w:rPr>
        <w:t xml:space="preserve">الصحيفة المنوه عنها أنه لم يتم </w:t>
      </w:r>
      <w:r w:rsidRPr="00773CB6">
        <w:rPr>
          <w:rFonts w:ascii="Arial" w:hAnsi="Arial" w:cs="Arial"/>
          <w:color w:val="FF0000"/>
          <w:sz w:val="32"/>
          <w:szCs w:val="32"/>
          <w:rtl/>
          <w:lang w:bidi="ar-EG"/>
        </w:rPr>
        <w:t xml:space="preserve">إعلانها للمطعون ضدهم </w:t>
      </w:r>
      <w:r w:rsidRPr="00773CB6">
        <w:rPr>
          <w:rFonts w:ascii="Arial" w:hAnsi="Arial" w:cs="Arial"/>
          <w:sz w:val="32"/>
          <w:szCs w:val="32"/>
          <w:rtl/>
          <w:lang w:bidi="ar-EG"/>
        </w:rPr>
        <w:t xml:space="preserve"> إعلانا قانونيا صحيحا وفقا لما حددته المادة (25) من قانون مجلس الدولة والمادة (13) من قانون المرافعات المدنية والتجارية </w:t>
      </w:r>
      <w:r w:rsidRPr="00773CB6">
        <w:rPr>
          <w:rFonts w:ascii="Arial" w:hAnsi="Arial" w:cs="Arial"/>
          <w:sz w:val="32"/>
          <w:szCs w:val="32"/>
          <w:rtl/>
          <w:lang w:bidi="ar-EG"/>
        </w:rPr>
        <w:lastRenderedPageBreak/>
        <w:t>سالفتي الذكر</w:t>
      </w:r>
      <w:r w:rsidRPr="00773CB6">
        <w:rPr>
          <w:rFonts w:ascii="Arial" w:hAnsi="Arial" w:cs="Arial"/>
          <w:color w:val="FF0000"/>
          <w:sz w:val="32"/>
          <w:szCs w:val="32"/>
          <w:rtl/>
          <w:lang w:bidi="ar-EG"/>
        </w:rPr>
        <w:t xml:space="preserve">، مما يفضي إلى عدم اتصال علمهم  </w:t>
      </w:r>
      <w:r w:rsidRPr="00773CB6">
        <w:rPr>
          <w:rFonts w:ascii="Arial" w:hAnsi="Arial" w:cs="Arial"/>
          <w:sz w:val="32"/>
          <w:szCs w:val="32"/>
          <w:rtl/>
          <w:lang w:bidi="ar-EG"/>
        </w:rPr>
        <w:t xml:space="preserve">بالطعن الماثل، وبما يتعين معه القضاء بعدم </w:t>
      </w:r>
      <w:r w:rsidRPr="00773CB6">
        <w:rPr>
          <w:rFonts w:ascii="Arial" w:hAnsi="Arial" w:cs="Arial" w:hint="cs"/>
          <w:sz w:val="32"/>
          <w:szCs w:val="32"/>
          <w:rtl/>
          <w:lang w:bidi="ar-EG"/>
        </w:rPr>
        <w:t>انعقاد</w:t>
      </w:r>
      <w:r w:rsidRPr="00773CB6">
        <w:rPr>
          <w:rFonts w:ascii="Arial" w:hAnsi="Arial" w:cs="Arial"/>
          <w:sz w:val="32"/>
          <w:szCs w:val="32"/>
          <w:rtl/>
          <w:lang w:bidi="ar-EG"/>
        </w:rPr>
        <w:t xml:space="preserve"> الخصومة لعدم تحقق الإعلان علي النحو الذي تطلبه القانون، وهو ما تقضي به المحكمة.</w:t>
      </w:r>
    </w:p>
    <w:p w:rsidR="00773CB6" w:rsidRPr="00773CB6" w:rsidRDefault="00773CB6" w:rsidP="00773CB6">
      <w:pPr>
        <w:bidi/>
        <w:spacing w:after="240"/>
        <w:ind w:left="-24" w:firstLine="567"/>
        <w:jc w:val="center"/>
        <w:rPr>
          <w:rFonts w:ascii="Arial" w:hAnsi="Arial" w:cs="Arial"/>
          <w:b/>
          <w:bCs/>
          <w:sz w:val="32"/>
          <w:szCs w:val="32"/>
          <w:u w:val="single"/>
          <w:rtl/>
          <w:lang w:eastAsia="ar-SA" w:bidi="ar-EG"/>
        </w:rPr>
      </w:pPr>
      <w:r w:rsidRPr="00773CB6">
        <w:rPr>
          <w:rFonts w:ascii="Arial" w:hAnsi="Arial" w:cs="Arial"/>
          <w:b/>
          <w:bCs/>
          <w:sz w:val="32"/>
          <w:szCs w:val="32"/>
          <w:u w:val="single"/>
          <w:rtl/>
          <w:lang w:eastAsia="ar-SA"/>
        </w:rPr>
        <w:t>فلهذه الأسباب</w:t>
      </w:r>
    </w:p>
    <w:p w:rsidR="00A50EA8" w:rsidRPr="00773CB6" w:rsidRDefault="00773CB6" w:rsidP="00D47C27">
      <w:pPr>
        <w:bidi/>
        <w:spacing w:after="240"/>
        <w:ind w:left="-24" w:firstLine="567"/>
        <w:jc w:val="both"/>
        <w:rPr>
          <w:rFonts w:ascii="Arial" w:hAnsi="Arial" w:cs="Arial"/>
          <w:sz w:val="32"/>
          <w:szCs w:val="32"/>
          <w:rtl/>
        </w:rPr>
      </w:pPr>
      <w:bookmarkStart w:id="0" w:name="_Hlk64151747"/>
      <w:r w:rsidRPr="00773CB6">
        <w:rPr>
          <w:rFonts w:ascii="Arial" w:hAnsi="Arial" w:cs="Arial"/>
          <w:sz w:val="32"/>
          <w:szCs w:val="32"/>
          <w:rtl/>
          <w:lang w:bidi="ar-EG"/>
        </w:rPr>
        <w:t xml:space="preserve"> </w:t>
      </w:r>
      <w:r w:rsidRPr="00773CB6">
        <w:rPr>
          <w:rFonts w:ascii="Arial" w:hAnsi="Arial" w:cs="Arial"/>
          <w:sz w:val="32"/>
          <w:szCs w:val="32"/>
          <w:rtl/>
        </w:rPr>
        <w:t>حكمت المحكمة :</w:t>
      </w:r>
      <w:r w:rsidRPr="00773CB6">
        <w:rPr>
          <w:rFonts w:ascii="Arial" w:hAnsi="Arial" w:cs="Arial"/>
          <w:sz w:val="32"/>
          <w:szCs w:val="32"/>
          <w:rtl/>
          <w:lang w:bidi="ar-EG"/>
        </w:rPr>
        <w:t xml:space="preserve"> بعدم </w:t>
      </w:r>
      <w:r w:rsidRPr="00773CB6">
        <w:rPr>
          <w:rFonts w:ascii="Arial" w:hAnsi="Arial" w:cs="Arial" w:hint="cs"/>
          <w:sz w:val="32"/>
          <w:szCs w:val="32"/>
          <w:rtl/>
          <w:lang w:bidi="ar-EG"/>
        </w:rPr>
        <w:t>انعقاد</w:t>
      </w:r>
      <w:r w:rsidRPr="00773CB6">
        <w:rPr>
          <w:rFonts w:ascii="Arial" w:hAnsi="Arial" w:cs="Arial"/>
          <w:sz w:val="32"/>
          <w:szCs w:val="32"/>
          <w:rtl/>
          <w:lang w:bidi="ar-EG"/>
        </w:rPr>
        <w:t xml:space="preserve"> الخصومة في الطعن</w:t>
      </w:r>
      <w:bookmarkEnd w:id="0"/>
      <w:r w:rsidR="00D47C27">
        <w:rPr>
          <w:rFonts w:ascii="Arial" w:hAnsi="Arial" w:cs="Arial" w:hint="cs"/>
          <w:sz w:val="32"/>
          <w:szCs w:val="32"/>
          <w:rtl/>
          <w:lang w:bidi="ar-EG"/>
        </w:rPr>
        <w:t xml:space="preserve"> </w:t>
      </w:r>
      <w:r w:rsidRPr="00773CB6">
        <w:rPr>
          <w:rFonts w:ascii="Arial" w:hAnsi="Arial" w:cs="Arial"/>
          <w:sz w:val="32"/>
          <w:szCs w:val="32"/>
          <w:rtl/>
        </w:rPr>
        <w:t>.</w:t>
      </w:r>
    </w:p>
    <w:p w:rsidR="006C44F1" w:rsidRDefault="006C44F1" w:rsidP="00A50EA8">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734" w:rsidRDefault="00D62734">
      <w:r>
        <w:separator/>
      </w:r>
    </w:p>
  </w:endnote>
  <w:endnote w:type="continuationSeparator" w:id="1">
    <w:p w:rsidR="00D62734" w:rsidRDefault="00D627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6B47FA"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6B47FA"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5C2544">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734" w:rsidRDefault="00D62734">
      <w:r>
        <w:separator/>
      </w:r>
    </w:p>
  </w:footnote>
  <w:footnote w:type="continuationSeparator" w:id="1">
    <w:p w:rsidR="00D62734" w:rsidRDefault="00D627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-46355</wp:posOffset>
          </wp:positionV>
          <wp:extent cx="635635" cy="381635"/>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635" cy="381635"/>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773CB6">
          <w:rPr>
            <w:rFonts w:hint="cs"/>
            <w:sz w:val="28"/>
            <w:szCs w:val="28"/>
            <w:u w:val="single"/>
            <w:rtl/>
            <w:lang w:bidi="ar-EG"/>
          </w:rPr>
          <w:t>في الطعن رقم 29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83E3F9C"/>
    <w:multiLevelType w:val="hybridMultilevel"/>
    <w:tmpl w:val="458A2098"/>
    <w:lvl w:ilvl="0" w:tplc="FD5A1314">
      <w:start w:val="1"/>
      <w:numFmt w:val="decimal"/>
      <w:lvlText w:val="%1-"/>
      <w:lvlJc w:val="left"/>
      <w:pPr>
        <w:ind w:left="348" w:hanging="372"/>
      </w:pPr>
      <w:rPr>
        <w:rFonts w:hint="default"/>
      </w:rPr>
    </w:lvl>
    <w:lvl w:ilvl="1" w:tplc="04090019" w:tentative="1">
      <w:start w:val="1"/>
      <w:numFmt w:val="lowerLetter"/>
      <w:lvlText w:val="%2."/>
      <w:lvlJc w:val="left"/>
      <w:pPr>
        <w:ind w:left="1056" w:hanging="360"/>
      </w:pPr>
    </w:lvl>
    <w:lvl w:ilvl="2" w:tplc="0409001B" w:tentative="1">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abstractNum w:abstractNumId="10">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4">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5">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7">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8">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9">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0">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2">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3">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5">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6">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7">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8">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0">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2">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3">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4">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4"/>
  </w:num>
  <w:num w:numId="3">
    <w:abstractNumId w:val="12"/>
  </w:num>
  <w:num w:numId="4">
    <w:abstractNumId w:val="2"/>
  </w:num>
  <w:num w:numId="5">
    <w:abstractNumId w:val="14"/>
  </w:num>
  <w:num w:numId="6">
    <w:abstractNumId w:val="26"/>
  </w:num>
  <w:num w:numId="7">
    <w:abstractNumId w:val="20"/>
  </w:num>
  <w:num w:numId="8">
    <w:abstractNumId w:val="15"/>
  </w:num>
  <w:num w:numId="9">
    <w:abstractNumId w:val="7"/>
  </w:num>
  <w:num w:numId="10">
    <w:abstractNumId w:val="10"/>
  </w:num>
  <w:num w:numId="11">
    <w:abstractNumId w:val="5"/>
  </w:num>
  <w:num w:numId="12">
    <w:abstractNumId w:val="23"/>
  </w:num>
  <w:num w:numId="13">
    <w:abstractNumId w:val="24"/>
  </w:num>
  <w:num w:numId="14">
    <w:abstractNumId w:val="0"/>
  </w:num>
  <w:num w:numId="15">
    <w:abstractNumId w:val="17"/>
  </w:num>
  <w:num w:numId="16">
    <w:abstractNumId w:val="11"/>
  </w:num>
  <w:num w:numId="17">
    <w:abstractNumId w:val="31"/>
  </w:num>
  <w:num w:numId="18">
    <w:abstractNumId w:val="1"/>
  </w:num>
  <w:num w:numId="19">
    <w:abstractNumId w:val="13"/>
  </w:num>
  <w:num w:numId="20">
    <w:abstractNumId w:val="19"/>
  </w:num>
  <w:num w:numId="21">
    <w:abstractNumId w:val="27"/>
  </w:num>
  <w:num w:numId="22">
    <w:abstractNumId w:val="16"/>
  </w:num>
  <w:num w:numId="23">
    <w:abstractNumId w:val="32"/>
  </w:num>
  <w:num w:numId="24">
    <w:abstractNumId w:val="33"/>
  </w:num>
  <w:num w:numId="25">
    <w:abstractNumId w:val="8"/>
  </w:num>
  <w:num w:numId="26">
    <w:abstractNumId w:val="25"/>
  </w:num>
  <w:num w:numId="27">
    <w:abstractNumId w:val="22"/>
  </w:num>
  <w:num w:numId="28">
    <w:abstractNumId w:val="3"/>
  </w:num>
  <w:num w:numId="29">
    <w:abstractNumId w:val="21"/>
  </w:num>
  <w:num w:numId="30">
    <w:abstractNumId w:val="6"/>
  </w:num>
  <w:num w:numId="31">
    <w:abstractNumId w:val="18"/>
  </w:num>
  <w:num w:numId="32">
    <w:abstractNumId w:val="34"/>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25602"/>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FA"/>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388"/>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BAF"/>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1FB"/>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5B0C"/>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00"/>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C7F17"/>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6BB"/>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67"/>
    <w:rsid w:val="004854ED"/>
    <w:rsid w:val="0048581F"/>
    <w:rsid w:val="00485E76"/>
    <w:rsid w:val="00486853"/>
    <w:rsid w:val="00486FDE"/>
    <w:rsid w:val="00487BA8"/>
    <w:rsid w:val="004902D0"/>
    <w:rsid w:val="00490923"/>
    <w:rsid w:val="00491181"/>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060"/>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6A0"/>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7773B"/>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924"/>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44"/>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94F"/>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1BD"/>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7FA"/>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3CB6"/>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27F"/>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0A8E"/>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378"/>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0EA8"/>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3F7"/>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490"/>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B60"/>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1CB1"/>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550"/>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47C27"/>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34"/>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2FE"/>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0C86"/>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E7EA1"/>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2FF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A26378"/>
    <w:pPr>
      <w:keepNext/>
      <w:bidi/>
      <w:spacing w:before="120" w:after="120"/>
      <w:jc w:val="lowKashida"/>
      <w:outlineLvl w:val="3"/>
    </w:pPr>
    <w:rPr>
      <w:rFonts w:cs="Arial"/>
      <w:b/>
      <w:bCs/>
      <w:caps/>
      <w:sz w:val="28"/>
      <w:u w:val="single"/>
      <w:lang w:eastAsia="ar-SA"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paragraph" w:styleId="2">
    <w:name w:val="Body Text 2"/>
    <w:basedOn w:val="a"/>
    <w:link w:val="2Char"/>
    <w:rsid w:val="00A26378"/>
    <w:pPr>
      <w:spacing w:after="120" w:line="480" w:lineRule="auto"/>
    </w:pPr>
  </w:style>
  <w:style w:type="character" w:customStyle="1" w:styleId="2Char">
    <w:name w:val="نص أساسي 2 Char"/>
    <w:basedOn w:val="a0"/>
    <w:link w:val="2"/>
    <w:rsid w:val="00A26378"/>
    <w:rPr>
      <w:sz w:val="24"/>
      <w:szCs w:val="24"/>
    </w:rPr>
  </w:style>
  <w:style w:type="character" w:customStyle="1" w:styleId="4Char">
    <w:name w:val="عنوان 4 Char"/>
    <w:basedOn w:val="a0"/>
    <w:link w:val="4"/>
    <w:semiHidden/>
    <w:rsid w:val="00A26378"/>
    <w:rPr>
      <w:rFonts w:cs="Arial"/>
      <w:b/>
      <w:bCs/>
      <w:caps/>
      <w:sz w:val="28"/>
      <w:szCs w:val="24"/>
      <w:u w:val="single"/>
      <w:lang w:eastAsia="ar-SA"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728188614">
      <w:bodyDiv w:val="1"/>
      <w:marLeft w:val="0"/>
      <w:marRight w:val="0"/>
      <w:marTop w:val="0"/>
      <w:marBottom w:val="0"/>
      <w:divBdr>
        <w:top w:val="none" w:sz="0" w:space="0" w:color="auto"/>
        <w:left w:val="none" w:sz="0" w:space="0" w:color="auto"/>
        <w:bottom w:val="none" w:sz="0" w:space="0" w:color="auto"/>
        <w:right w:val="none" w:sz="0" w:space="0" w:color="auto"/>
      </w:divBdr>
    </w:div>
    <w:div w:id="735930480">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84176"/>
    <w:rsid w:val="000A07E8"/>
    <w:rsid w:val="000C443E"/>
    <w:rsid w:val="00101DBD"/>
    <w:rsid w:val="0010693C"/>
    <w:rsid w:val="00122DD9"/>
    <w:rsid w:val="00147021"/>
    <w:rsid w:val="001471F2"/>
    <w:rsid w:val="001F2F0F"/>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35A44"/>
    <w:rsid w:val="00651DBF"/>
    <w:rsid w:val="0066425C"/>
    <w:rsid w:val="0068499C"/>
    <w:rsid w:val="00704C58"/>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9F1BA2"/>
    <w:rsid w:val="00A2624F"/>
    <w:rsid w:val="00A47E84"/>
    <w:rsid w:val="00A7159D"/>
    <w:rsid w:val="00A71BDB"/>
    <w:rsid w:val="00AA1E60"/>
    <w:rsid w:val="00AC4B7E"/>
    <w:rsid w:val="00AE1AB8"/>
    <w:rsid w:val="00B33C74"/>
    <w:rsid w:val="00B7370B"/>
    <w:rsid w:val="00C203EE"/>
    <w:rsid w:val="00C523D1"/>
    <w:rsid w:val="00C66D8B"/>
    <w:rsid w:val="00C70F6F"/>
    <w:rsid w:val="00CA6305"/>
    <w:rsid w:val="00CB590A"/>
    <w:rsid w:val="00CB76C3"/>
    <w:rsid w:val="00CD2AA3"/>
    <w:rsid w:val="00CD3CE5"/>
    <w:rsid w:val="00CD78B3"/>
    <w:rsid w:val="00CD7E59"/>
    <w:rsid w:val="00CF08E1"/>
    <w:rsid w:val="00CF0DDF"/>
    <w:rsid w:val="00CF4310"/>
    <w:rsid w:val="00D0187A"/>
    <w:rsid w:val="00D2364F"/>
    <w:rsid w:val="00D2710C"/>
    <w:rsid w:val="00D30231"/>
    <w:rsid w:val="00D416F0"/>
    <w:rsid w:val="00D53A6C"/>
    <w:rsid w:val="00DB09ED"/>
    <w:rsid w:val="00DD7F64"/>
    <w:rsid w:val="00E6092E"/>
    <w:rsid w:val="00EB2D08"/>
    <w:rsid w:val="00EE412C"/>
    <w:rsid w:val="00F0218A"/>
    <w:rsid w:val="00F53499"/>
    <w:rsid w:val="00F80455"/>
    <w:rsid w:val="00F811B8"/>
    <w:rsid w:val="00F832C8"/>
    <w:rsid w:val="00F84351"/>
    <w:rsid w:val="00F91A8E"/>
    <w:rsid w:val="00FE6D85"/>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ACF2-A7B6-4DE6-99A4-24AB4F1A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768</Words>
  <Characters>4379</Characters>
  <Application>Microsoft Office Word</Application>
  <DocSecurity>0</DocSecurity>
  <Lines>36</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5137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68</cp:revision>
  <cp:lastPrinted>2019-10-26T08:39:00Z</cp:lastPrinted>
  <dcterms:created xsi:type="dcterms:W3CDTF">2019-09-24T23:17:00Z</dcterms:created>
  <dcterms:modified xsi:type="dcterms:W3CDTF">2020-04-11T03:05:00Z</dcterms:modified>
  <cp:contentStatus>في الطعن رقم 29 لسنة 56 ق.</cp:contentStatus>
</cp:coreProperties>
</file>