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5C2D76" w:rsidP="00B12C74">
      <w:pPr>
        <w:bidi/>
        <w:ind w:left="1247"/>
        <w:jc w:val="center"/>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96DA3">
      <w:pPr>
        <w:bidi/>
        <w:ind w:left="907"/>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AF6FC2">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AF6FC2">
        <w:rPr>
          <w:rFonts w:ascii="Arial" w:hAnsi="Arial" w:cs="Arial" w:hint="cs"/>
          <w:sz w:val="32"/>
          <w:szCs w:val="32"/>
          <w:rtl/>
          <w:lang w:bidi="ar-EG"/>
        </w:rPr>
        <w:t>28</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AF6FC2">
        <w:rPr>
          <w:rFonts w:ascii="Arial" w:hAnsi="Arial" w:cs="Arial" w:hint="cs"/>
          <w:sz w:val="32"/>
          <w:szCs w:val="32"/>
          <w:rtl/>
          <w:lang w:bidi="ar-EG"/>
        </w:rPr>
        <w:t>9</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FD5734">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B832C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B832C7">
        <w:rPr>
          <w:rFonts w:ascii="Arial" w:hAnsi="Arial" w:cs="Arial" w:hint="cs"/>
          <w:sz w:val="32"/>
          <w:szCs w:val="32"/>
          <w:rtl/>
          <w:lang w:bidi="ar-EG"/>
        </w:rPr>
        <w:t>عبد الرؤ</w:t>
      </w:r>
      <w:r w:rsidR="00FD5734">
        <w:rPr>
          <w:rFonts w:ascii="Arial" w:hAnsi="Arial" w:cs="Arial" w:hint="cs"/>
          <w:sz w:val="32"/>
          <w:szCs w:val="32"/>
          <w:rtl/>
          <w:lang w:bidi="ar-EG"/>
        </w:rPr>
        <w:t>و</w:t>
      </w:r>
      <w:r w:rsidR="00B832C7">
        <w:rPr>
          <w:rFonts w:ascii="Arial" w:hAnsi="Arial" w:cs="Arial" w:hint="cs"/>
          <w:sz w:val="32"/>
          <w:szCs w:val="32"/>
          <w:rtl/>
          <w:lang w:bidi="ar-EG"/>
        </w:rPr>
        <w:t>ف محمود محمد خليفة</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FD5734">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AE49FA"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AE49F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FD5734">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t xml:space="preserve">        </w:t>
      </w:r>
      <w:r w:rsidR="00AE49FA">
        <w:rPr>
          <w:rFonts w:ascii="Arial" w:hAnsi="Arial" w:cs="Arial" w:hint="cs"/>
          <w:sz w:val="32"/>
          <w:szCs w:val="32"/>
          <w:rtl/>
          <w:lang w:bidi="ar-EG"/>
        </w:rPr>
        <w:t xml:space="preserve">       </w:t>
      </w:r>
      <w:r w:rsidR="00FD5734">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A94336">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A94336">
            <w:rPr>
              <w:rFonts w:ascii="Arial" w:hAnsi="Arial" w:cs="Arial" w:hint="cs"/>
              <w:sz w:val="32"/>
              <w:szCs w:val="32"/>
              <w:rtl/>
              <w:lang w:bidi="ar-EG"/>
            </w:rPr>
            <w:t>64</w:t>
          </w:r>
          <w:r>
            <w:rPr>
              <w:rFonts w:ascii="Arial" w:hAnsi="Arial" w:cs="Arial" w:hint="cs"/>
              <w:sz w:val="32"/>
              <w:szCs w:val="32"/>
              <w:rtl/>
              <w:lang w:bidi="ar-EG"/>
            </w:rPr>
            <w:t xml:space="preserve"> لسنة </w:t>
          </w:r>
          <w:r w:rsidR="00A94336">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CA45B2" w:rsidRPr="00CA45B2" w:rsidRDefault="00D932C6" w:rsidP="00CA45B2">
      <w:pPr>
        <w:pStyle w:val="normal"/>
        <w:spacing w:before="120" w:after="120" w:line="240" w:lineRule="auto"/>
        <w:ind w:hanging="24"/>
        <w:jc w:val="center"/>
        <w:rPr>
          <w:rFonts w:ascii="Traditional Arabic" w:eastAsia="Traditional Arabic" w:hAnsi="Traditional Arabic" w:cstheme="minorBidi" w:hint="cs"/>
          <w:bCs/>
          <w:sz w:val="32"/>
          <w:szCs w:val="32"/>
          <w:rtl/>
        </w:rPr>
      </w:pPr>
      <w:r w:rsidRPr="00CA45B2">
        <w:rPr>
          <w:rFonts w:ascii="Traditional Arabic" w:eastAsia="Traditional Arabic" w:hAnsi="Traditional Arabic" w:cstheme="minorBidi"/>
          <w:bCs/>
          <w:sz w:val="32"/>
          <w:szCs w:val="32"/>
          <w:rtl/>
        </w:rPr>
        <w:t>المقامة من/</w:t>
      </w:r>
    </w:p>
    <w:p w:rsidR="00D932C6" w:rsidRDefault="00D932C6" w:rsidP="00CA45B2">
      <w:pPr>
        <w:pStyle w:val="normal"/>
        <w:spacing w:before="120" w:after="120" w:line="240" w:lineRule="auto"/>
        <w:ind w:hanging="24"/>
        <w:jc w:val="center"/>
        <w:rPr>
          <w:rFonts w:ascii="Traditional Arabic" w:eastAsia="Traditional Arabic" w:hAnsi="Traditional Arabic" w:cstheme="minorBidi"/>
          <w:b/>
          <w:sz w:val="32"/>
          <w:szCs w:val="32"/>
        </w:rPr>
      </w:pPr>
      <w:r>
        <w:rPr>
          <w:rFonts w:ascii="Traditional Arabic" w:eastAsia="Traditional Arabic" w:hAnsi="Traditional Arabic" w:cstheme="minorBidi"/>
          <w:b/>
          <w:sz w:val="32"/>
          <w:szCs w:val="32"/>
          <w:rtl/>
        </w:rPr>
        <w:t>النيابة الإدارية.</w:t>
      </w:r>
    </w:p>
    <w:p w:rsidR="00D932C6" w:rsidRPr="00CA45B2" w:rsidRDefault="00D932C6" w:rsidP="00CA45B2">
      <w:pPr>
        <w:pStyle w:val="normal"/>
        <w:spacing w:before="120" w:after="120" w:line="240" w:lineRule="auto"/>
        <w:ind w:hanging="24"/>
        <w:jc w:val="center"/>
        <w:rPr>
          <w:rFonts w:ascii="Traditional Arabic" w:eastAsia="Traditional Arabic" w:hAnsi="Traditional Arabic" w:cstheme="minorBidi"/>
          <w:bCs/>
          <w:sz w:val="32"/>
          <w:szCs w:val="32"/>
        </w:rPr>
      </w:pPr>
      <w:bookmarkStart w:id="1" w:name="_gjdgxs"/>
      <w:bookmarkEnd w:id="1"/>
      <w:r w:rsidRPr="00CA45B2">
        <w:rPr>
          <w:rFonts w:ascii="Traditional Arabic" w:eastAsia="Traditional Arabic" w:hAnsi="Traditional Arabic" w:cstheme="minorBidi"/>
          <w:bCs/>
          <w:sz w:val="32"/>
          <w:szCs w:val="32"/>
          <w:rtl/>
        </w:rPr>
        <w:t>ضــــــــــــــــد</w:t>
      </w:r>
    </w:p>
    <w:p w:rsidR="00D932C6" w:rsidRDefault="00D932C6" w:rsidP="00CA45B2">
      <w:pPr>
        <w:pStyle w:val="normal"/>
        <w:spacing w:before="120" w:after="120" w:line="240" w:lineRule="auto"/>
        <w:ind w:left="-24"/>
        <w:jc w:val="center"/>
        <w:rPr>
          <w:rFonts w:cstheme="minorBidi"/>
          <w:b/>
          <w:sz w:val="32"/>
          <w:szCs w:val="32"/>
        </w:rPr>
      </w:pPr>
      <w:r>
        <w:rPr>
          <w:rFonts w:ascii="Traditional Arabic" w:eastAsia="Traditional Arabic" w:hAnsi="Traditional Arabic" w:cstheme="minorBidi"/>
          <w:b/>
          <w:sz w:val="32"/>
          <w:szCs w:val="32"/>
          <w:rtl/>
        </w:rPr>
        <w:t>أحمد أنور عيسي محمد.</w:t>
      </w:r>
    </w:p>
    <w:p w:rsidR="00D932C6" w:rsidRPr="00CA45B2" w:rsidRDefault="00D932C6" w:rsidP="00CA45B2">
      <w:pPr>
        <w:pStyle w:val="normal"/>
        <w:spacing w:before="120" w:after="120" w:line="240" w:lineRule="auto"/>
        <w:ind w:hanging="24"/>
        <w:jc w:val="lowKashida"/>
        <w:rPr>
          <w:rFonts w:ascii="Traditional Arabic" w:eastAsia="Traditional Arabic" w:hAnsi="Traditional Arabic" w:cstheme="minorBidi"/>
          <w:bCs/>
          <w:sz w:val="32"/>
          <w:szCs w:val="32"/>
        </w:rPr>
      </w:pPr>
      <w:r w:rsidRPr="00CA45B2">
        <w:rPr>
          <w:rFonts w:ascii="Traditional Arabic" w:eastAsia="Traditional Arabic" w:hAnsi="Traditional Arabic" w:cstheme="minorBidi"/>
          <w:bCs/>
          <w:sz w:val="32"/>
          <w:szCs w:val="32"/>
        </w:rPr>
        <w:t xml:space="preserve"> </w:t>
      </w:r>
      <w:r w:rsidRPr="00CA45B2">
        <w:rPr>
          <w:rFonts w:ascii="Traditional Arabic" w:eastAsia="Traditional Arabic" w:hAnsi="Traditional Arabic" w:cstheme="minorBidi"/>
          <w:bCs/>
          <w:sz w:val="32"/>
          <w:szCs w:val="32"/>
          <w:u w:val="single"/>
          <w:rtl/>
        </w:rPr>
        <w:t xml:space="preserve">الوقائع </w:t>
      </w:r>
      <w:r w:rsidRPr="00CA45B2">
        <w:rPr>
          <w:rFonts w:ascii="Traditional Arabic" w:eastAsia="Traditional Arabic" w:hAnsi="Traditional Arabic" w:cstheme="minorBidi"/>
          <w:bCs/>
          <w:sz w:val="32"/>
          <w:szCs w:val="32"/>
          <w:rtl/>
        </w:rPr>
        <w:t xml:space="preserve"> </w:t>
      </w:r>
      <w:r w:rsidRPr="00CA45B2">
        <w:rPr>
          <w:rFonts w:ascii="Traditional Arabic" w:eastAsia="Traditional Arabic" w:hAnsi="Traditional Arabic" w:cstheme="minorBidi"/>
          <w:bCs/>
          <w:sz w:val="32"/>
          <w:szCs w:val="32"/>
        </w:rPr>
        <w:t xml:space="preserve"> </w:t>
      </w:r>
    </w:p>
    <w:p w:rsidR="00D932C6" w:rsidRDefault="00D932C6" w:rsidP="00D932C6">
      <w:pPr>
        <w:pStyle w:val="normal"/>
        <w:spacing w:before="120" w:after="120" w:line="240" w:lineRule="auto"/>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أقامت النيابة الإدارية الدعوى الماثلة بإيداع أوراقها قلم كتاب هذه المحكمة بتاريخ 18/5/2022 مشتملة على ملف التحقيقات في القضية رقم 405 لسنة 2021نيابة فاقوس، وتقرير اتهام ضد: -</w:t>
      </w:r>
    </w:p>
    <w:p w:rsidR="00D932C6" w:rsidRDefault="00D932C6" w:rsidP="00D932C6">
      <w:pPr>
        <w:pStyle w:val="normal"/>
        <w:spacing w:before="120" w:after="120" w:line="240" w:lineRule="auto"/>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Pr>
        <w:t xml:space="preserve">- </w:t>
      </w:r>
      <w:r>
        <w:rPr>
          <w:rFonts w:ascii="Traditional Arabic" w:eastAsia="Traditional Arabic" w:hAnsi="Traditional Arabic" w:cstheme="minorBidi"/>
          <w:b/>
          <w:sz w:val="32"/>
          <w:szCs w:val="32"/>
          <w:rtl/>
        </w:rPr>
        <w:t>أحمد أنور عيسي محمد</w:t>
      </w:r>
      <w:r>
        <w:rPr>
          <w:rFonts w:ascii="Traditional Arabic" w:eastAsia="Traditional Arabic" w:hAnsi="Traditional Arabic" w:cstheme="minorBidi"/>
          <w:sz w:val="32"/>
          <w:szCs w:val="32"/>
          <w:rtl/>
        </w:rPr>
        <w:t xml:space="preserve"> ، رئيس مجلس مدينة صان الحجر سابقا وحاليا رئيس مجلس مدينة الزينية الأقصر – درجة مدير عام . </w:t>
      </w:r>
    </w:p>
    <w:p w:rsidR="00D932C6" w:rsidRDefault="00D932C6" w:rsidP="00D932C6">
      <w:pPr>
        <w:pStyle w:val="normal"/>
        <w:spacing w:before="120" w:after="120" w:line="240" w:lineRule="auto"/>
        <w:ind w:firstLine="567"/>
        <w:jc w:val="lowKashida"/>
        <w:rPr>
          <w:rFonts w:ascii="Traditional Arabic" w:eastAsia="Traditional Arabic" w:hAnsi="Traditional Arabic" w:cstheme="minorBidi"/>
          <w:b/>
          <w:sz w:val="32"/>
          <w:szCs w:val="32"/>
        </w:rPr>
      </w:pPr>
      <w:r>
        <w:rPr>
          <w:rFonts w:ascii="Traditional Arabic" w:eastAsia="Traditional Arabic" w:hAnsi="Traditional Arabic" w:cstheme="minorBidi"/>
          <w:sz w:val="32"/>
          <w:szCs w:val="32"/>
          <w:rtl/>
        </w:rPr>
        <w:t xml:space="preserve">لأنه في غضون شهر فبراير 2019 بوصفه السابق وحال عمله كرئيس مجلس مدينة صان الحجر بمحافظة الشرقية ,لم يؤد العمل المنوط به بدقة وخالف أحكام القانون وأتي ما من شأنه المساس بمصلحة مالية للدولة وذلك بأن:  قام بإصدار تعليمات هدم مبني قطاع صان الحجر الزراعي دون موافقة السلطة المختصة وبالمخالفة </w:t>
      </w:r>
      <w:r w:rsidR="00CA45B2">
        <w:rPr>
          <w:rFonts w:ascii="Traditional Arabic" w:eastAsia="Traditional Arabic" w:hAnsi="Traditional Arabic" w:cstheme="minorBidi" w:hint="cs"/>
          <w:sz w:val="32"/>
          <w:szCs w:val="32"/>
          <w:rtl/>
        </w:rPr>
        <w:t>لأحكام</w:t>
      </w:r>
      <w:r>
        <w:rPr>
          <w:rFonts w:ascii="Traditional Arabic" w:eastAsia="Traditional Arabic" w:hAnsi="Traditional Arabic" w:cstheme="minorBidi"/>
          <w:sz w:val="32"/>
          <w:szCs w:val="32"/>
          <w:rtl/>
        </w:rPr>
        <w:t xml:space="preserve"> القانون رقم 182 لسنة 2018 ولائحته التنفيذية, مما ترتب عليه عدم الاستفادة بمحتويات المبني من أبواب وشابيك وحدايد وناتج هدم قدرت قيمته بإجمالي مبلغ 4050 جنيه بالمخالفة للقانون , وذلك علي النحو الموضح </w:t>
      </w:r>
      <w:r w:rsidR="00CA45B2">
        <w:rPr>
          <w:rFonts w:ascii="Traditional Arabic" w:eastAsia="Traditional Arabic" w:hAnsi="Traditional Arabic" w:cstheme="minorBidi" w:hint="cs"/>
          <w:sz w:val="32"/>
          <w:szCs w:val="32"/>
          <w:rtl/>
        </w:rPr>
        <w:t>بالأوراق</w:t>
      </w:r>
      <w:r>
        <w:rPr>
          <w:rFonts w:ascii="Traditional Arabic" w:eastAsia="Traditional Arabic" w:hAnsi="Traditional Arabic" w:cstheme="minorBidi"/>
          <w:sz w:val="32"/>
          <w:szCs w:val="32"/>
          <w:rtl/>
        </w:rPr>
        <w:t xml:space="preserve">. </w:t>
      </w:r>
    </w:p>
    <w:p w:rsidR="00D932C6" w:rsidRDefault="00D932C6" w:rsidP="00D932C6">
      <w:pPr>
        <w:pStyle w:val="normal"/>
        <w:spacing w:before="120" w:after="120" w:line="240" w:lineRule="auto"/>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 xml:space="preserve">وارتأت النيابة الإدارية أن المحال قد ارتكب المخالفات المالية والإدارية بالمواد أرقام (57),(58),(60),( 61),(62/4) من قانون الخدمة المدنية رقم 81 لسنة 2016.  </w:t>
      </w:r>
    </w:p>
    <w:p w:rsidR="00D932C6" w:rsidRDefault="00D932C6" w:rsidP="00D932C6">
      <w:pPr>
        <w:pStyle w:val="normal"/>
        <w:spacing w:before="120" w:after="120" w:line="240" w:lineRule="auto"/>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وتحددت لنظر الدعوى أمام المحكمة جلسة 1/6/2022، وتدوولت أمامها على النحو الثابت بمحاضر جلساتها، وبجلسة 3/8/2022 قدم المحال حافظتي مستندات طويت على المدون بغلافها،وبذات الجلسة قررت المحكمة حجز الدعوى للحكم بجلسة اليوم، وبها صدر الحكم وأودعت مسودته متضمنة أسبابه عند النطق به.</w:t>
      </w:r>
    </w:p>
    <w:p w:rsidR="00D932C6" w:rsidRPr="00CA45B2" w:rsidRDefault="00D932C6" w:rsidP="00CA45B2">
      <w:pPr>
        <w:pStyle w:val="normal"/>
        <w:spacing w:before="120" w:after="120" w:line="240" w:lineRule="auto"/>
        <w:ind w:firstLine="567"/>
        <w:jc w:val="center"/>
        <w:rPr>
          <w:rFonts w:ascii="Traditional Arabic" w:eastAsia="Traditional Arabic" w:hAnsi="Traditional Arabic" w:cstheme="minorBidi"/>
          <w:bCs/>
          <w:sz w:val="32"/>
          <w:szCs w:val="32"/>
          <w:u w:val="single"/>
        </w:rPr>
      </w:pPr>
      <w:r w:rsidRPr="00CA45B2">
        <w:rPr>
          <w:rFonts w:ascii="Traditional Arabic" w:eastAsia="Traditional Arabic" w:hAnsi="Traditional Arabic" w:cstheme="minorBidi"/>
          <w:bCs/>
          <w:sz w:val="32"/>
          <w:szCs w:val="32"/>
          <w:u w:val="single"/>
          <w:rtl/>
        </w:rPr>
        <w:t>المحكمة</w:t>
      </w:r>
    </w:p>
    <w:p w:rsidR="00D932C6" w:rsidRDefault="00D932C6" w:rsidP="00CA45B2">
      <w:pPr>
        <w:pStyle w:val="normal"/>
        <w:spacing w:before="120" w:after="120" w:line="240" w:lineRule="auto"/>
        <w:ind w:firstLine="543"/>
        <w:jc w:val="lowKashida"/>
        <w:rPr>
          <w:rFonts w:ascii="Traditional Arabic" w:eastAsia="Traditional Arabic" w:hAnsi="Traditional Arabic" w:cstheme="minorBidi"/>
          <w:b/>
          <w:sz w:val="32"/>
          <w:szCs w:val="32"/>
          <w:u w:val="single"/>
        </w:rPr>
      </w:pPr>
      <w:r>
        <w:rPr>
          <w:rFonts w:ascii="Traditional Arabic" w:eastAsia="Traditional Arabic" w:hAnsi="Traditional Arabic" w:cstheme="minorBidi"/>
          <w:b/>
          <w:sz w:val="32"/>
          <w:szCs w:val="32"/>
          <w:u w:val="single"/>
          <w:rtl/>
        </w:rPr>
        <w:t>بعد الاطلاع على الأوراق، وسماع الإيضاحات والمداولة قانونا.</w:t>
      </w:r>
    </w:p>
    <w:p w:rsidR="00D932C6" w:rsidRDefault="00D932C6" w:rsidP="00D932C6">
      <w:pPr>
        <w:pStyle w:val="normal"/>
        <w:spacing w:before="120" w:after="120" w:line="240" w:lineRule="auto"/>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lastRenderedPageBreak/>
        <w:t>ومن حيث إن النيابة الإدارية تطلب محاكمة المحال تأديبيا عما نسب إليه من مخالفة طبقاً للقيد والوصف ومواد القانون الواردة تفصيلاً بتقرير الاتهام.</w:t>
      </w:r>
    </w:p>
    <w:p w:rsidR="00D932C6" w:rsidRDefault="00D932C6" w:rsidP="00D932C6">
      <w:pPr>
        <w:pStyle w:val="normal"/>
        <w:spacing w:before="120" w:after="120" w:line="240" w:lineRule="auto"/>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ومن حيث إن الدعوى قد استوفت سائر أوضاعها الشكلية المقررة قانونا، فإنها تكون مقبولة شكلا.</w:t>
      </w:r>
    </w:p>
    <w:p w:rsidR="00D932C6" w:rsidRDefault="00D932C6" w:rsidP="00D932C6">
      <w:pPr>
        <w:pStyle w:val="normal"/>
        <w:spacing w:before="120" w:after="120" w:line="240" w:lineRule="auto"/>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 xml:space="preserve">ومن حيث إن وقائع الدعوى الماثلة تتلخص فيما </w:t>
      </w:r>
      <w:r w:rsidR="00CA45B2">
        <w:rPr>
          <w:rFonts w:ascii="Traditional Arabic" w:eastAsia="Traditional Arabic" w:hAnsi="Traditional Arabic" w:cstheme="minorBidi" w:hint="cs"/>
          <w:sz w:val="32"/>
          <w:szCs w:val="32"/>
          <w:rtl/>
        </w:rPr>
        <w:t>انتهت</w:t>
      </w:r>
      <w:r>
        <w:rPr>
          <w:rFonts w:ascii="Traditional Arabic" w:eastAsia="Traditional Arabic" w:hAnsi="Traditional Arabic" w:cstheme="minorBidi"/>
          <w:sz w:val="32"/>
          <w:szCs w:val="32"/>
          <w:rtl/>
        </w:rPr>
        <w:t xml:space="preserve"> </w:t>
      </w:r>
      <w:r w:rsidR="00CA45B2">
        <w:rPr>
          <w:rFonts w:ascii="Traditional Arabic" w:eastAsia="Traditional Arabic" w:hAnsi="Traditional Arabic" w:cstheme="minorBidi" w:hint="cs"/>
          <w:sz w:val="32"/>
          <w:szCs w:val="32"/>
          <w:rtl/>
        </w:rPr>
        <w:t>إليه</w:t>
      </w:r>
      <w:r>
        <w:rPr>
          <w:rFonts w:ascii="Traditional Arabic" w:eastAsia="Traditional Arabic" w:hAnsi="Traditional Arabic" w:cstheme="minorBidi"/>
          <w:sz w:val="32"/>
          <w:szCs w:val="32"/>
          <w:rtl/>
        </w:rPr>
        <w:t xml:space="preserve"> نيابة فاقوس بتحقيقاتها في القضية رقم 975 لسنة 2020 من إفراد تحقيق مستقل برقم قضية جديد للتحقيق في مسئولية السيد / أحمد أنور عيسي محمد - رئيس مجلس مدينة صان الحجر سابقا -بشأن إصداره تعليمات خلال شهر فبراير 2019 بهدم مبني صان الحجر الزراعي دون موافقة السلطة المختصة, ومسئولية / ممدوح محمد حسانين سكرتير مجلس مدينة صان الحجر من قيامه </w:t>
      </w:r>
      <w:r w:rsidR="00CA45B2">
        <w:rPr>
          <w:rFonts w:ascii="Traditional Arabic" w:eastAsia="Traditional Arabic" w:hAnsi="Traditional Arabic" w:cstheme="minorBidi" w:hint="cs"/>
          <w:sz w:val="32"/>
          <w:szCs w:val="32"/>
          <w:rtl/>
        </w:rPr>
        <w:t>بإخلاء</w:t>
      </w:r>
      <w:r>
        <w:rPr>
          <w:rFonts w:ascii="Traditional Arabic" w:eastAsia="Traditional Arabic" w:hAnsi="Traditional Arabic" w:cstheme="minorBidi"/>
          <w:sz w:val="32"/>
          <w:szCs w:val="32"/>
          <w:rtl/>
        </w:rPr>
        <w:t xml:space="preserve"> مبني قطاع صان الحجر الزراعي ونقل محتوياته من </w:t>
      </w:r>
      <w:r w:rsidR="00CA45B2">
        <w:rPr>
          <w:rFonts w:ascii="Traditional Arabic" w:eastAsia="Traditional Arabic" w:hAnsi="Traditional Arabic" w:cstheme="minorBidi" w:hint="cs"/>
          <w:sz w:val="32"/>
          <w:szCs w:val="32"/>
          <w:rtl/>
        </w:rPr>
        <w:t>أبواب</w:t>
      </w:r>
      <w:r>
        <w:rPr>
          <w:rFonts w:ascii="Traditional Arabic" w:eastAsia="Traditional Arabic" w:hAnsi="Traditional Arabic" w:cstheme="minorBidi"/>
          <w:sz w:val="32"/>
          <w:szCs w:val="32"/>
          <w:rtl/>
        </w:rPr>
        <w:t xml:space="preserve"> وشبايبك الي مخازن مجلس مدينة صان الحجر دون إضافتها رسميا إلي المخازن وبالمخالفة للوائح والتعليمات, وتم التحقيق من قبل النيابة </w:t>
      </w:r>
      <w:r w:rsidR="00CA45B2">
        <w:rPr>
          <w:rFonts w:ascii="Traditional Arabic" w:eastAsia="Traditional Arabic" w:hAnsi="Traditional Arabic" w:cstheme="minorBidi" w:hint="cs"/>
          <w:sz w:val="32"/>
          <w:szCs w:val="32"/>
          <w:rtl/>
        </w:rPr>
        <w:t>الإدارية</w:t>
      </w:r>
      <w:r>
        <w:rPr>
          <w:rFonts w:ascii="Traditional Arabic" w:eastAsia="Traditional Arabic" w:hAnsi="Traditional Arabic" w:cstheme="minorBidi"/>
          <w:sz w:val="32"/>
          <w:szCs w:val="32"/>
          <w:rtl/>
        </w:rPr>
        <w:t xml:space="preserve"> وانتهت لحفظ التحقيق بالنسبة لممدوح محمد حسانين واسُتوفيت محاضر التحقيق بمعرفة نيابتي شبرا الخيمة ونيابة الأقصر ، وتمت مواجهة المحال بما هو منسوب إليه، ومن ثم إحالته إلى المحاكمة التأديبية.</w:t>
      </w:r>
    </w:p>
    <w:p w:rsidR="00D932C6" w:rsidRDefault="00D932C6" w:rsidP="00D932C6">
      <w:pPr>
        <w:pStyle w:val="normal"/>
        <w:spacing w:before="120" w:after="120" w:line="240" w:lineRule="auto"/>
        <w:ind w:firstLine="567"/>
        <w:jc w:val="lowKashida"/>
        <w:rPr>
          <w:rFonts w:ascii="Traditional Arabic" w:eastAsia="Traditional Arabic" w:hAnsi="Traditional Arabic" w:cstheme="minorBidi"/>
          <w:sz w:val="36"/>
          <w:szCs w:val="32"/>
        </w:rPr>
      </w:pPr>
      <w:r>
        <w:rPr>
          <w:rFonts w:ascii="Traditional Arabic" w:eastAsia="Traditional Arabic" w:hAnsi="Traditional Arabic" w:cstheme="minorBidi"/>
          <w:sz w:val="36"/>
          <w:szCs w:val="32"/>
          <w:rtl/>
        </w:rPr>
        <w:t>ومن حيث إن مناط المسئولية التأديبية شأنها شأن المسئولية الجنائية مسئولية شخصية بحسبان أن المخالفة التأديبية هي كل فعل إيجابي أو سلبي ينطوى على الإخلال بواجبات الوظيفة المنوطة بالموظف العام وذلك بمخالفته لأحكام القوانين واللوائح أو التعليمات الإدارية وكذلك الإخلال بمقتضياتها بأن يطأ العامل موطن الزلل ويحوم حول الشبهات بما تضيع معه الثقة التي لابد من توافرها في الوظيفة العامة والموظف العام معا، ومن ناحية أخرى فإن لمحكمة الموضوع في نطاق إثبات أو نفي مسئولية العامل سلطة تقديرية في الأخذ بما تطمئن إليه من الأدلة لتكوين عقيدتها من أي عنصر دون حاجة إلى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على أسباب سائغة تكفي لحمله ما دام قيام الحقيقة التي اقتنعت بها وأوردت دليلها فيه التعليل الضمنى المسقط لتلك الأقوال أو الشهادات التي تم طرحها جانبا ولم تعول عليه في قضائها.        {المحكمة الإدارية العليا - الطعن رقم 101402 لسنة 62 ق - بجلسة 16/12/2017}.</w:t>
      </w:r>
    </w:p>
    <w:p w:rsidR="00D932C6" w:rsidRDefault="00D932C6" w:rsidP="00D932C6">
      <w:pPr>
        <w:pStyle w:val="normal"/>
        <w:spacing w:before="120" w:after="120" w:line="240" w:lineRule="auto"/>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ومن حيث إن 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(المحكمة الإدارية العليا في الطعن رقم 5655 لسنة 46ق.ع بجلسة 17/2/2002، والطعن رقم 57446 لسنة 60ق.ع بجلسة 6/2/2016).</w:t>
      </w:r>
    </w:p>
    <w:p w:rsidR="00D932C6" w:rsidRDefault="00D932C6" w:rsidP="00D932C6">
      <w:pPr>
        <w:pStyle w:val="normal"/>
        <w:spacing w:before="120" w:after="120" w:line="240" w:lineRule="auto"/>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6"/>
          <w:szCs w:val="32"/>
          <w:rtl/>
        </w:rPr>
        <w:t>ومن حيث إن حقيقة المخالفة المنسوبة للمحال -والتي تمت مواجهته بها بالتحقيقات- هي قيامه بهدم مبني قطاع صان الحجر الزراعي دون موافقة السلطة المختصة,وبالمخالفة لإحكام القانون رقم 182 لسنة 2018 ولائحته التنفيذية لعدم الاستفادة بمحتويات المبني من أبواب وشابيك وحدايد وناتج هدم قدرت قيمته بإجمالي مبلغ 4050 جنيه بالمخالفة للقانون.</w:t>
      </w:r>
    </w:p>
    <w:p w:rsidR="00D932C6" w:rsidRDefault="00D932C6" w:rsidP="00D932C6">
      <w:pPr>
        <w:pStyle w:val="normal"/>
        <w:spacing w:before="120" w:after="120" w:line="240" w:lineRule="auto"/>
        <w:ind w:firstLine="567"/>
        <w:jc w:val="lowKashida"/>
        <w:rPr>
          <w:rFonts w:ascii="Traditional Arabic" w:eastAsia="Traditional Arabic" w:hAnsi="Traditional Arabic" w:cstheme="minorBidi"/>
          <w:sz w:val="36"/>
          <w:szCs w:val="32"/>
        </w:rPr>
      </w:pPr>
      <w:r>
        <w:rPr>
          <w:rFonts w:ascii="Traditional Arabic" w:eastAsia="Traditional Arabic" w:hAnsi="Traditional Arabic" w:cstheme="minorBidi"/>
          <w:sz w:val="36"/>
          <w:szCs w:val="32"/>
          <w:rtl/>
        </w:rPr>
        <w:t xml:space="preserve">وبمواجهة المحال بالمخالفة أنكر صحتها مؤكدا علي أن مبني قطاع صان الحجر الزراعي تم نقل تبعيته لمجلس مدينة صان الحجر بقرار محافظ الشرقية رقم 861 لسنة 2017 الصادر بتاريخ 14/2/2017 وتكليف رئيس مجلس المدينة في ذات الوقت </w:t>
      </w:r>
      <w:r w:rsidR="00CA45B2">
        <w:rPr>
          <w:rFonts w:ascii="Traditional Arabic" w:eastAsia="Traditional Arabic" w:hAnsi="Traditional Arabic" w:cstheme="minorBidi" w:hint="cs"/>
          <w:sz w:val="36"/>
          <w:szCs w:val="32"/>
          <w:rtl/>
        </w:rPr>
        <w:t>باستلام</w:t>
      </w:r>
      <w:r>
        <w:rPr>
          <w:rFonts w:ascii="Traditional Arabic" w:eastAsia="Traditional Arabic" w:hAnsi="Traditional Arabic" w:cstheme="minorBidi"/>
          <w:sz w:val="36"/>
          <w:szCs w:val="32"/>
          <w:rtl/>
        </w:rPr>
        <w:t xml:space="preserve"> المبني ونقل العاملين بالمبني الي ديوان عام المحافظة , ونظرا لوجود خطر علي </w:t>
      </w:r>
      <w:r w:rsidR="00CA415A">
        <w:rPr>
          <w:rFonts w:ascii="Traditional Arabic" w:eastAsia="Traditional Arabic" w:hAnsi="Traditional Arabic" w:cstheme="minorBidi" w:hint="cs"/>
          <w:sz w:val="36"/>
          <w:szCs w:val="32"/>
          <w:rtl/>
        </w:rPr>
        <w:t>الأرواح</w:t>
      </w:r>
      <w:r>
        <w:rPr>
          <w:rFonts w:ascii="Traditional Arabic" w:eastAsia="Traditional Arabic" w:hAnsi="Traditional Arabic" w:cstheme="minorBidi"/>
          <w:sz w:val="36"/>
          <w:szCs w:val="32"/>
          <w:rtl/>
        </w:rPr>
        <w:t xml:space="preserve"> قام بتنفيذ قرار لجنة </w:t>
      </w:r>
      <w:r w:rsidR="00CA415A">
        <w:rPr>
          <w:rFonts w:ascii="Traditional Arabic" w:eastAsia="Traditional Arabic" w:hAnsi="Traditional Arabic" w:cstheme="minorBidi" w:hint="cs"/>
          <w:sz w:val="36"/>
          <w:szCs w:val="32"/>
          <w:rtl/>
        </w:rPr>
        <w:t>المنشآت</w:t>
      </w:r>
      <w:r>
        <w:rPr>
          <w:rFonts w:ascii="Traditional Arabic" w:eastAsia="Traditional Arabic" w:hAnsi="Traditional Arabic" w:cstheme="minorBidi"/>
          <w:sz w:val="36"/>
          <w:szCs w:val="32"/>
          <w:rtl/>
        </w:rPr>
        <w:t xml:space="preserve"> </w:t>
      </w:r>
      <w:r w:rsidR="00CA415A">
        <w:rPr>
          <w:rFonts w:ascii="Traditional Arabic" w:eastAsia="Traditional Arabic" w:hAnsi="Traditional Arabic" w:cstheme="minorBidi" w:hint="cs"/>
          <w:sz w:val="36"/>
          <w:szCs w:val="32"/>
          <w:rtl/>
        </w:rPr>
        <w:t>الآيلة</w:t>
      </w:r>
      <w:r>
        <w:rPr>
          <w:rFonts w:ascii="Traditional Arabic" w:eastAsia="Traditional Arabic" w:hAnsi="Traditional Arabic" w:cstheme="minorBidi"/>
          <w:sz w:val="36"/>
          <w:szCs w:val="32"/>
          <w:rtl/>
        </w:rPr>
        <w:t xml:space="preserve"> للسقوط لمبني قطاع صان الحجر رقم 36 لسنة 2015, فقام </w:t>
      </w:r>
      <w:r w:rsidR="00CA45B2">
        <w:rPr>
          <w:rFonts w:ascii="Traditional Arabic" w:eastAsia="Traditional Arabic" w:hAnsi="Traditional Arabic" w:cstheme="minorBidi" w:hint="cs"/>
          <w:sz w:val="36"/>
          <w:szCs w:val="32"/>
          <w:rtl/>
        </w:rPr>
        <w:t>بإزالة</w:t>
      </w:r>
      <w:r>
        <w:rPr>
          <w:rFonts w:ascii="Traditional Arabic" w:eastAsia="Traditional Arabic" w:hAnsi="Traditional Arabic" w:cstheme="minorBidi"/>
          <w:sz w:val="36"/>
          <w:szCs w:val="32"/>
          <w:rtl/>
        </w:rPr>
        <w:t xml:space="preserve"> السقف فقط بمعرفة مقاول الهدم المتعاقد مع </w:t>
      </w:r>
      <w:r>
        <w:rPr>
          <w:rFonts w:ascii="Traditional Arabic" w:eastAsia="Traditional Arabic" w:hAnsi="Traditional Arabic" w:cstheme="minorBidi"/>
          <w:sz w:val="36"/>
          <w:szCs w:val="32"/>
          <w:rtl/>
        </w:rPr>
        <w:lastRenderedPageBreak/>
        <w:t xml:space="preserve">ديوان عام المحافظة, وترك المبني </w:t>
      </w:r>
      <w:r w:rsidR="00CA415A">
        <w:rPr>
          <w:rFonts w:ascii="Traditional Arabic" w:eastAsia="Traditional Arabic" w:hAnsi="Traditional Arabic" w:cstheme="minorBidi" w:hint="cs"/>
          <w:sz w:val="36"/>
          <w:szCs w:val="32"/>
          <w:rtl/>
        </w:rPr>
        <w:t>بأبوابه</w:t>
      </w:r>
      <w:r>
        <w:rPr>
          <w:rFonts w:ascii="Traditional Arabic" w:eastAsia="Traditional Arabic" w:hAnsi="Traditional Arabic" w:cstheme="minorBidi"/>
          <w:sz w:val="36"/>
          <w:szCs w:val="32"/>
          <w:rtl/>
        </w:rPr>
        <w:t xml:space="preserve"> وشبابيكه علي هيئته, وقام بتسليمه لمركز شرطة صان الحجر </w:t>
      </w:r>
      <w:r w:rsidR="00CA415A">
        <w:rPr>
          <w:rFonts w:ascii="Traditional Arabic" w:eastAsia="Traditional Arabic" w:hAnsi="Traditional Arabic" w:cstheme="minorBidi" w:hint="cs"/>
          <w:sz w:val="36"/>
          <w:szCs w:val="32"/>
          <w:rtl/>
        </w:rPr>
        <w:t>لاستخدامه</w:t>
      </w:r>
      <w:r>
        <w:rPr>
          <w:rFonts w:ascii="Traditional Arabic" w:eastAsia="Traditional Arabic" w:hAnsi="Traditional Arabic" w:cstheme="minorBidi"/>
          <w:sz w:val="36"/>
          <w:szCs w:val="32"/>
          <w:rtl/>
        </w:rPr>
        <w:t xml:space="preserve"> كشونه للسيارات, وذلك بناء علي مكاتبة سكرتير عام محافظة الشرقية  له بتدبير مكان لمركز شرطة كشونه للتحفظ علي المظبوطات، باعتبار أن المبني ملاصق تماما لمركز الشرطة فتم تخصيصه مؤقتا لحين اتخاذ </w:t>
      </w:r>
      <w:r w:rsidR="00CA415A">
        <w:rPr>
          <w:rFonts w:ascii="Traditional Arabic" w:eastAsia="Traditional Arabic" w:hAnsi="Traditional Arabic" w:cstheme="minorBidi" w:hint="cs"/>
          <w:sz w:val="36"/>
          <w:szCs w:val="32"/>
          <w:rtl/>
        </w:rPr>
        <w:t>الإجراءات</w:t>
      </w:r>
      <w:r>
        <w:rPr>
          <w:rFonts w:ascii="Traditional Arabic" w:eastAsia="Traditional Arabic" w:hAnsi="Traditional Arabic" w:cstheme="minorBidi"/>
          <w:sz w:val="36"/>
          <w:szCs w:val="32"/>
          <w:rtl/>
        </w:rPr>
        <w:t xml:space="preserve"> القانونية,وأكد ان المستندات موجودة بالشئون القانونية.</w:t>
      </w:r>
    </w:p>
    <w:p w:rsidR="00D932C6" w:rsidRDefault="00D932C6" w:rsidP="00D932C6">
      <w:pPr>
        <w:pStyle w:val="normal"/>
        <w:spacing w:before="120" w:after="120" w:line="240" w:lineRule="auto"/>
        <w:ind w:firstLine="567"/>
        <w:jc w:val="lowKashida"/>
        <w:rPr>
          <w:rFonts w:ascii="Traditional Arabic" w:eastAsia="Traditional Arabic" w:hAnsi="Traditional Arabic" w:cstheme="minorBidi"/>
          <w:sz w:val="36"/>
          <w:szCs w:val="32"/>
        </w:rPr>
      </w:pPr>
      <w:r>
        <w:rPr>
          <w:rFonts w:ascii="Traditional Arabic" w:eastAsia="Traditional Arabic" w:hAnsi="Traditional Arabic" w:cstheme="minorBidi"/>
          <w:sz w:val="36"/>
          <w:szCs w:val="32"/>
          <w:rtl/>
        </w:rPr>
        <w:t xml:space="preserve">وتأييدا لأقواله قدم المحال بالتحقيقات صورة من  قرار لجنة المنشآت الآيلة للسقوط رقم (36) لسنة 2015 بهدم المبنى المشار إليه، وصورة من كتاب رئاسة مجلس مدينة صان الحجر الموجه الي  مأمور قسم الشرطة والذي جاء مفاده أنه بشأن طلب تدبير ارض </w:t>
      </w:r>
      <w:r w:rsidR="00CA415A">
        <w:rPr>
          <w:rFonts w:ascii="Traditional Arabic" w:eastAsia="Traditional Arabic" w:hAnsi="Traditional Arabic" w:cstheme="minorBidi" w:hint="cs"/>
          <w:sz w:val="36"/>
          <w:szCs w:val="32"/>
          <w:rtl/>
        </w:rPr>
        <w:t>أملاك</w:t>
      </w:r>
      <w:r>
        <w:rPr>
          <w:rFonts w:ascii="Traditional Arabic" w:eastAsia="Traditional Arabic" w:hAnsi="Traditional Arabic" w:cstheme="minorBidi"/>
          <w:sz w:val="36"/>
          <w:szCs w:val="32"/>
          <w:rtl/>
        </w:rPr>
        <w:t xml:space="preserve"> دولة لاستخدامها كشونه مضبوطات فإنه تم توفير المبني الملاصق لمركز الشرطة والذي تم تنفيذ قرار </w:t>
      </w:r>
      <w:r w:rsidR="00CA415A">
        <w:rPr>
          <w:rFonts w:ascii="Traditional Arabic" w:eastAsia="Traditional Arabic" w:hAnsi="Traditional Arabic" w:cstheme="minorBidi" w:hint="cs"/>
          <w:sz w:val="36"/>
          <w:szCs w:val="32"/>
          <w:rtl/>
        </w:rPr>
        <w:t>إزالة</w:t>
      </w:r>
      <w:r>
        <w:rPr>
          <w:rFonts w:ascii="Traditional Arabic" w:eastAsia="Traditional Arabic" w:hAnsi="Traditional Arabic" w:cstheme="minorBidi"/>
          <w:sz w:val="36"/>
          <w:szCs w:val="32"/>
          <w:rtl/>
        </w:rPr>
        <w:t xml:space="preserve"> سقفه فقط لحين تخصيصه بالطرق القانونية, وصورة من خطاب  مجلس مدينة صان الحجر المرسل الي سكرتير عام المحافظة بشأن شكوي المواطنين باستيلاء مجلس المدينة علي ارض وهدم مباني </w:t>
      </w:r>
      <w:r w:rsidR="00CA415A">
        <w:rPr>
          <w:rFonts w:ascii="Traditional Arabic" w:eastAsia="Traditional Arabic" w:hAnsi="Traditional Arabic" w:cstheme="minorBidi" w:hint="cs"/>
          <w:sz w:val="36"/>
          <w:szCs w:val="32"/>
          <w:rtl/>
        </w:rPr>
        <w:t>الأفراد</w:t>
      </w:r>
      <w:r>
        <w:rPr>
          <w:rFonts w:ascii="Traditional Arabic" w:eastAsia="Traditional Arabic" w:hAnsi="Traditional Arabic" w:cstheme="minorBidi"/>
          <w:sz w:val="36"/>
          <w:szCs w:val="32"/>
          <w:rtl/>
        </w:rPr>
        <w:t xml:space="preserve"> وتحويلها الي مخزن لقسم الشرطة </w:t>
      </w:r>
      <w:r w:rsidR="00CA415A">
        <w:rPr>
          <w:rFonts w:ascii="Traditional Arabic" w:eastAsia="Traditional Arabic" w:hAnsi="Traditional Arabic" w:cstheme="minorBidi" w:hint="cs"/>
          <w:sz w:val="36"/>
          <w:szCs w:val="32"/>
          <w:rtl/>
        </w:rPr>
        <w:t>وإيضاح</w:t>
      </w:r>
      <w:r>
        <w:rPr>
          <w:rFonts w:ascii="Traditional Arabic" w:eastAsia="Traditional Arabic" w:hAnsi="Traditional Arabic" w:cstheme="minorBidi"/>
          <w:sz w:val="36"/>
          <w:szCs w:val="32"/>
          <w:rtl/>
        </w:rPr>
        <w:t xml:space="preserve"> أن المبني خاص بقطاع صان الحجر الزراعي والملاصق لمركز الشرطة والذي تم </w:t>
      </w:r>
      <w:r w:rsidR="00CA415A">
        <w:rPr>
          <w:rFonts w:ascii="Traditional Arabic" w:eastAsia="Traditional Arabic" w:hAnsi="Traditional Arabic" w:cstheme="minorBidi" w:hint="cs"/>
          <w:sz w:val="36"/>
          <w:szCs w:val="32"/>
          <w:rtl/>
        </w:rPr>
        <w:t>إزالة</w:t>
      </w:r>
      <w:r>
        <w:rPr>
          <w:rFonts w:ascii="Traditional Arabic" w:eastAsia="Traditional Arabic" w:hAnsi="Traditional Arabic" w:cstheme="minorBidi"/>
          <w:sz w:val="36"/>
          <w:szCs w:val="32"/>
          <w:rtl/>
        </w:rPr>
        <w:t xml:space="preserve"> سقفه فقط وأنه </w:t>
      </w:r>
      <w:r w:rsidR="00CA415A">
        <w:rPr>
          <w:rFonts w:ascii="Traditional Arabic" w:eastAsia="Traditional Arabic" w:hAnsi="Traditional Arabic" w:cstheme="minorBidi" w:hint="cs"/>
          <w:sz w:val="36"/>
          <w:szCs w:val="32"/>
          <w:rtl/>
        </w:rPr>
        <w:t>أملاك</w:t>
      </w:r>
      <w:r>
        <w:rPr>
          <w:rFonts w:ascii="Traditional Arabic" w:eastAsia="Traditional Arabic" w:hAnsi="Traditional Arabic" w:cstheme="minorBidi"/>
          <w:sz w:val="36"/>
          <w:szCs w:val="32"/>
          <w:rtl/>
        </w:rPr>
        <w:t xml:space="preserve"> عامة وليس </w:t>
      </w:r>
      <w:r w:rsidR="00CA415A">
        <w:rPr>
          <w:rFonts w:ascii="Traditional Arabic" w:eastAsia="Traditional Arabic" w:hAnsi="Traditional Arabic" w:cstheme="minorBidi" w:hint="cs"/>
          <w:sz w:val="36"/>
          <w:szCs w:val="32"/>
          <w:rtl/>
        </w:rPr>
        <w:t>أملاك</w:t>
      </w:r>
      <w:r>
        <w:rPr>
          <w:rFonts w:ascii="Traditional Arabic" w:eastAsia="Traditional Arabic" w:hAnsi="Traditional Arabic" w:cstheme="minorBidi"/>
          <w:sz w:val="36"/>
          <w:szCs w:val="32"/>
          <w:rtl/>
        </w:rPr>
        <w:t xml:space="preserve"> خاصة كما جاء بالشكوي, وأنه تم تسليمه لمركز الشرطة بحق انتفاع ليكون مخزن للمضبوطات, وأضاف المحال أن عقد المقابل موجود </w:t>
      </w:r>
      <w:r w:rsidR="00CA415A">
        <w:rPr>
          <w:rFonts w:ascii="Traditional Arabic" w:eastAsia="Traditional Arabic" w:hAnsi="Traditional Arabic" w:cstheme="minorBidi" w:hint="cs"/>
          <w:sz w:val="36"/>
          <w:szCs w:val="32"/>
          <w:rtl/>
        </w:rPr>
        <w:t>بإدارة</w:t>
      </w:r>
      <w:r>
        <w:rPr>
          <w:rFonts w:ascii="Traditional Arabic" w:eastAsia="Traditional Arabic" w:hAnsi="Traditional Arabic" w:cstheme="minorBidi"/>
          <w:sz w:val="36"/>
          <w:szCs w:val="32"/>
          <w:rtl/>
        </w:rPr>
        <w:t xml:space="preserve"> العقود والمشتريات بصان الحجر.</w:t>
      </w:r>
    </w:p>
    <w:p w:rsidR="00D932C6" w:rsidRDefault="00D932C6" w:rsidP="00D932C6">
      <w:pPr>
        <w:pStyle w:val="normal"/>
        <w:spacing w:before="120" w:after="120" w:line="240" w:lineRule="auto"/>
        <w:ind w:firstLine="567"/>
        <w:jc w:val="lowKashida"/>
        <w:rPr>
          <w:rFonts w:ascii="Traditional Arabic" w:eastAsia="Traditional Arabic" w:hAnsi="Traditional Arabic" w:cstheme="minorBidi"/>
          <w:sz w:val="36"/>
          <w:szCs w:val="32"/>
        </w:rPr>
      </w:pPr>
      <w:r>
        <w:rPr>
          <w:rFonts w:ascii="Traditional Arabic" w:eastAsia="Traditional Arabic" w:hAnsi="Traditional Arabic" w:cstheme="minorBidi"/>
          <w:sz w:val="36"/>
          <w:szCs w:val="32"/>
          <w:rtl/>
        </w:rPr>
        <w:t xml:space="preserve">ولتحقيق الوقائع المنسوبة للمحال قامت سلطة </w:t>
      </w:r>
      <w:r w:rsidR="00CA415A">
        <w:rPr>
          <w:rFonts w:ascii="Traditional Arabic" w:eastAsia="Traditional Arabic" w:hAnsi="Traditional Arabic" w:cstheme="minorBidi" w:hint="cs"/>
          <w:sz w:val="36"/>
          <w:szCs w:val="32"/>
          <w:rtl/>
        </w:rPr>
        <w:t>الاتهام</w:t>
      </w:r>
      <w:r>
        <w:rPr>
          <w:rFonts w:ascii="Traditional Arabic" w:eastAsia="Traditional Arabic" w:hAnsi="Traditional Arabic" w:cstheme="minorBidi"/>
          <w:sz w:val="36"/>
          <w:szCs w:val="32"/>
          <w:rtl/>
        </w:rPr>
        <w:t xml:space="preserve"> بتكليف السيد/على عبد المنعم عدوى عجوة، المفتش بمديرية الإسكان بمحافظة الشرقية، بفحص هذه الوقائع، حيث أكد على أنه قام بمعاينة مبني شركة صان الحجر الزراعية على الطبيعة وتبين له أنه عبارة عن أنقاض وأن بعض الحوائط لا تزال قائمة بدون سقف. وأفاد أنه بمراجعة السجلات تبين أنه بتاريخ 14/4/2015 صدر قرار من لجنة المنشات </w:t>
      </w:r>
      <w:r>
        <w:rPr>
          <w:rFonts w:ascii="Traditional Arabic" w:eastAsia="Traditional Arabic" w:hAnsi="Traditional Arabic" w:cstheme="minorBidi" w:hint="cs"/>
          <w:sz w:val="36"/>
          <w:szCs w:val="32"/>
          <w:rtl/>
        </w:rPr>
        <w:t>الآيلة</w:t>
      </w:r>
      <w:r>
        <w:rPr>
          <w:rFonts w:ascii="Traditional Arabic" w:eastAsia="Traditional Arabic" w:hAnsi="Traditional Arabic" w:cstheme="minorBidi"/>
          <w:sz w:val="36"/>
          <w:szCs w:val="32"/>
          <w:rtl/>
        </w:rPr>
        <w:t xml:space="preserve"> للسقوط بمجلس مدينة الحسينية برقم 36 لسنة 2015 بهدم </w:t>
      </w:r>
      <w:r w:rsidR="00CA415A">
        <w:rPr>
          <w:rFonts w:ascii="Traditional Arabic" w:eastAsia="Traditional Arabic" w:hAnsi="Traditional Arabic" w:cstheme="minorBidi" w:hint="cs"/>
          <w:sz w:val="36"/>
          <w:szCs w:val="32"/>
          <w:rtl/>
        </w:rPr>
        <w:t>وإزالة</w:t>
      </w:r>
      <w:r>
        <w:rPr>
          <w:rFonts w:ascii="Traditional Arabic" w:eastAsia="Traditional Arabic" w:hAnsi="Traditional Arabic" w:cstheme="minorBidi"/>
          <w:sz w:val="36"/>
          <w:szCs w:val="32"/>
          <w:rtl/>
        </w:rPr>
        <w:t xml:space="preserve"> المبني طبقا للقانون رقم 119 لسنة 2008 لكونه مبني دور ارضي مقام بالطوب </w:t>
      </w:r>
      <w:r>
        <w:rPr>
          <w:rFonts w:ascii="Traditional Arabic" w:eastAsia="Traditional Arabic" w:hAnsi="Traditional Arabic" w:cstheme="minorBidi" w:hint="cs"/>
          <w:sz w:val="36"/>
          <w:szCs w:val="32"/>
          <w:rtl/>
        </w:rPr>
        <w:t>الأسمنتي</w:t>
      </w:r>
      <w:r>
        <w:rPr>
          <w:rFonts w:ascii="Traditional Arabic" w:eastAsia="Traditional Arabic" w:hAnsi="Traditional Arabic" w:cstheme="minorBidi"/>
          <w:sz w:val="36"/>
          <w:szCs w:val="32"/>
          <w:rtl/>
        </w:rPr>
        <w:t xml:space="preserve"> وسقف خرساني وبه تآكل بالجدران وانهيار </w:t>
      </w:r>
      <w:r>
        <w:rPr>
          <w:rFonts w:ascii="Traditional Arabic" w:eastAsia="Traditional Arabic" w:hAnsi="Traditional Arabic" w:cstheme="minorBidi" w:hint="cs"/>
          <w:sz w:val="36"/>
          <w:szCs w:val="32"/>
          <w:rtl/>
        </w:rPr>
        <w:t>أجزاء</w:t>
      </w:r>
      <w:r>
        <w:rPr>
          <w:rFonts w:ascii="Traditional Arabic" w:eastAsia="Traditional Arabic" w:hAnsi="Traditional Arabic" w:cstheme="minorBidi"/>
          <w:sz w:val="36"/>
          <w:szCs w:val="32"/>
          <w:rtl/>
        </w:rPr>
        <w:t xml:space="preserve"> من السقف في بعض الحجرات، على النحو الثابت بتقرير لجنة المنشات </w:t>
      </w:r>
      <w:r>
        <w:rPr>
          <w:rFonts w:ascii="Traditional Arabic" w:eastAsia="Traditional Arabic" w:hAnsi="Traditional Arabic" w:cstheme="minorBidi" w:hint="cs"/>
          <w:sz w:val="36"/>
          <w:szCs w:val="32"/>
          <w:rtl/>
        </w:rPr>
        <w:t>الآيلة</w:t>
      </w:r>
      <w:r>
        <w:rPr>
          <w:rFonts w:ascii="Traditional Arabic" w:eastAsia="Traditional Arabic" w:hAnsi="Traditional Arabic" w:cstheme="minorBidi"/>
          <w:sz w:val="36"/>
          <w:szCs w:val="32"/>
          <w:rtl/>
        </w:rPr>
        <w:t xml:space="preserve"> للسقوط. وقرر أنه لا يوجد مخالفة بشأن هدم المبني محل التحقيق لكون </w:t>
      </w:r>
      <w:r>
        <w:rPr>
          <w:rFonts w:ascii="Traditional Arabic" w:eastAsia="Traditional Arabic" w:hAnsi="Traditional Arabic" w:cstheme="minorBidi" w:hint="cs"/>
          <w:sz w:val="36"/>
          <w:szCs w:val="32"/>
          <w:rtl/>
        </w:rPr>
        <w:t>الإزالة</w:t>
      </w:r>
      <w:r>
        <w:rPr>
          <w:rFonts w:ascii="Traditional Arabic" w:eastAsia="Traditional Arabic" w:hAnsi="Traditional Arabic" w:cstheme="minorBidi"/>
          <w:sz w:val="36"/>
          <w:szCs w:val="32"/>
          <w:rtl/>
        </w:rPr>
        <w:t xml:space="preserve"> تمت بعد موافقة السلطة المختصة وصدور قرار الهدم ,كما أن حالة المبني لا تستدعي إسناد عملية الهدم لشركة أو مقاول. وأضاف أن </w:t>
      </w:r>
      <w:r>
        <w:rPr>
          <w:rFonts w:ascii="Traditional Arabic" w:eastAsia="Traditional Arabic" w:hAnsi="Traditional Arabic" w:cstheme="minorBidi" w:hint="cs"/>
          <w:sz w:val="36"/>
          <w:szCs w:val="32"/>
          <w:rtl/>
        </w:rPr>
        <w:t>أنقاض</w:t>
      </w:r>
      <w:r>
        <w:rPr>
          <w:rFonts w:ascii="Traditional Arabic" w:eastAsia="Traditional Arabic" w:hAnsi="Traditional Arabic" w:cstheme="minorBidi"/>
          <w:sz w:val="36"/>
          <w:szCs w:val="32"/>
          <w:rtl/>
        </w:rPr>
        <w:t xml:space="preserve"> المبني خالية من وجود اي </w:t>
      </w:r>
      <w:r>
        <w:rPr>
          <w:rFonts w:ascii="Traditional Arabic" w:eastAsia="Traditional Arabic" w:hAnsi="Traditional Arabic" w:cstheme="minorBidi" w:hint="cs"/>
          <w:sz w:val="36"/>
          <w:szCs w:val="32"/>
          <w:rtl/>
        </w:rPr>
        <w:t>أبواب</w:t>
      </w:r>
      <w:r>
        <w:rPr>
          <w:rFonts w:ascii="Traditional Arabic" w:eastAsia="Traditional Arabic" w:hAnsi="Traditional Arabic" w:cstheme="minorBidi"/>
          <w:sz w:val="36"/>
          <w:szCs w:val="32"/>
          <w:rtl/>
        </w:rPr>
        <w:t xml:space="preserve"> أو شبابيك لكونها من المؤكد قديمة ومتهالكة في ظل حالة المبني الموضحة, ومن المستحيل </w:t>
      </w:r>
      <w:r>
        <w:rPr>
          <w:rFonts w:ascii="Traditional Arabic" w:eastAsia="Traditional Arabic" w:hAnsi="Traditional Arabic" w:cstheme="minorBidi" w:hint="cs"/>
          <w:sz w:val="36"/>
          <w:szCs w:val="32"/>
          <w:rtl/>
        </w:rPr>
        <w:t>استخدامها</w:t>
      </w:r>
      <w:r>
        <w:rPr>
          <w:rFonts w:ascii="Traditional Arabic" w:eastAsia="Traditional Arabic" w:hAnsi="Traditional Arabic" w:cstheme="minorBidi"/>
          <w:sz w:val="36"/>
          <w:szCs w:val="32"/>
          <w:rtl/>
        </w:rPr>
        <w:t xml:space="preserve"> مرة أخري, كما يصعب تقدير قيمتها المالية. ورأي أنه من خلال الفحص لم يتبين وجود ايه مخالفات بشأن تنفيذ إزالة المبني. </w:t>
      </w:r>
    </w:p>
    <w:p w:rsidR="00D932C6" w:rsidRDefault="00D932C6" w:rsidP="00D932C6">
      <w:pPr>
        <w:pStyle w:val="normal"/>
        <w:spacing w:before="120" w:after="120" w:line="240" w:lineRule="auto"/>
        <w:ind w:firstLine="567"/>
        <w:jc w:val="lowKashida"/>
        <w:rPr>
          <w:rFonts w:ascii="Traditional Arabic" w:eastAsia="Traditional Arabic" w:hAnsi="Traditional Arabic" w:cstheme="minorBidi"/>
          <w:sz w:val="36"/>
          <w:szCs w:val="32"/>
        </w:rPr>
      </w:pPr>
      <w:r>
        <w:rPr>
          <w:rFonts w:ascii="Traditional Arabic" w:eastAsia="Traditional Arabic" w:hAnsi="Traditional Arabic" w:cstheme="minorBidi"/>
          <w:sz w:val="36"/>
          <w:szCs w:val="32"/>
          <w:rtl/>
        </w:rPr>
        <w:t>ومن حيث إنه متى كان ما تقدم، ومتى أضحى من الثابت للمحكمة أن قيام المحال بإزالة سقف المبنى المشار إليه جاء تنفيذا لقرار لجنة المبانى الآيلة للسقوط رقم (36) لسنة 2015، وإن الإزالة تمت بعد موافقة السلطة المختصة، وفقا للثابت من المستندات التى قدمها المحال، ولم تجحدها سلطة الإتهام أو تنكر صحتها، وللثابت من أقوال السيد/على عبد المنعم عدوى عجوة، المفتش بمديرية الإسكان بمحافظة الشرقية، المكلف من سلطة الإتهام بفحص واقعة الإزالة، وبذلك تنتفى عن المحال شبهة مخالفة أحكام القوانين واللوائح، بل على العكس من ذلك فإن قيامه بإزالة سقف المبنى كان تنفيذا للقوانين واللوائح، كما لم يثبت خروجه على مقتضى الواجب الوظيفى، بما ينفى عنه ارتكابه لذنب إدارى يستدعى مجازاته عنه.</w:t>
      </w:r>
    </w:p>
    <w:p w:rsidR="00D932C6" w:rsidRDefault="00D932C6" w:rsidP="00D932C6">
      <w:pPr>
        <w:pStyle w:val="normal"/>
        <w:spacing w:before="120" w:after="120" w:line="240" w:lineRule="auto"/>
        <w:ind w:firstLine="567"/>
        <w:jc w:val="lowKashida"/>
        <w:rPr>
          <w:rFonts w:ascii="Traditional Arabic" w:eastAsia="Traditional Arabic" w:hAnsi="Traditional Arabic" w:cstheme="minorBidi"/>
          <w:sz w:val="36"/>
          <w:szCs w:val="32"/>
        </w:rPr>
      </w:pPr>
      <w:r>
        <w:rPr>
          <w:rFonts w:ascii="Traditional Arabic" w:eastAsia="Traditional Arabic" w:hAnsi="Traditional Arabic" w:cstheme="minorBidi"/>
          <w:sz w:val="36"/>
          <w:szCs w:val="32"/>
          <w:rtl/>
        </w:rPr>
        <w:t xml:space="preserve">أما بشأن عدم الاستفادة من </w:t>
      </w:r>
      <w:r>
        <w:rPr>
          <w:rFonts w:ascii="Traditional Arabic" w:eastAsia="Traditional Arabic" w:hAnsi="Traditional Arabic" w:cstheme="minorBidi" w:hint="cs"/>
          <w:sz w:val="36"/>
          <w:szCs w:val="32"/>
          <w:rtl/>
        </w:rPr>
        <w:t>الأبواب</w:t>
      </w:r>
      <w:r>
        <w:rPr>
          <w:rFonts w:ascii="Traditional Arabic" w:eastAsia="Traditional Arabic" w:hAnsi="Traditional Arabic" w:cstheme="minorBidi"/>
          <w:sz w:val="36"/>
          <w:szCs w:val="32"/>
          <w:rtl/>
        </w:rPr>
        <w:t xml:space="preserve"> والشبابيك وناتج الهدم، التى قدرتها سلطة الإتهام بمبلغ </w:t>
      </w:r>
      <w:r>
        <w:rPr>
          <w:rFonts w:ascii="Traditional Arabic" w:eastAsia="Traditional Arabic" w:hAnsi="Traditional Arabic" w:cstheme="minorBidi"/>
          <w:sz w:val="32"/>
          <w:szCs w:val="32"/>
          <w:rtl/>
        </w:rPr>
        <w:t>4050 جنيه</w:t>
      </w:r>
      <w:r>
        <w:rPr>
          <w:rFonts w:ascii="Traditional Arabic" w:eastAsia="Traditional Arabic" w:hAnsi="Traditional Arabic" w:cstheme="minorBidi"/>
          <w:sz w:val="36"/>
          <w:szCs w:val="32"/>
          <w:rtl/>
        </w:rPr>
        <w:t xml:space="preserve">، فقد قدم المحال للنيابة </w:t>
      </w:r>
      <w:r>
        <w:rPr>
          <w:rFonts w:ascii="Traditional Arabic" w:eastAsia="Traditional Arabic" w:hAnsi="Traditional Arabic" w:cstheme="minorBidi" w:hint="cs"/>
          <w:sz w:val="36"/>
          <w:szCs w:val="32"/>
          <w:rtl/>
        </w:rPr>
        <w:t>الإدارية</w:t>
      </w:r>
      <w:r>
        <w:rPr>
          <w:rFonts w:ascii="Traditional Arabic" w:eastAsia="Traditional Arabic" w:hAnsi="Traditional Arabic" w:cstheme="minorBidi"/>
          <w:sz w:val="36"/>
          <w:szCs w:val="32"/>
          <w:rtl/>
        </w:rPr>
        <w:t xml:space="preserve"> كتابين </w:t>
      </w:r>
      <w:r>
        <w:rPr>
          <w:rFonts w:ascii="Traditional Arabic" w:eastAsia="Traditional Arabic" w:hAnsi="Traditional Arabic" w:cstheme="minorBidi" w:hint="cs"/>
          <w:sz w:val="36"/>
          <w:szCs w:val="32"/>
          <w:rtl/>
        </w:rPr>
        <w:t>إحداهما</w:t>
      </w:r>
      <w:r>
        <w:rPr>
          <w:rFonts w:ascii="Traditional Arabic" w:eastAsia="Traditional Arabic" w:hAnsi="Traditional Arabic" w:cstheme="minorBidi"/>
          <w:sz w:val="36"/>
          <w:szCs w:val="32"/>
          <w:rtl/>
        </w:rPr>
        <w:t xml:space="preserve"> موجه </w:t>
      </w:r>
      <w:r>
        <w:rPr>
          <w:rFonts w:ascii="Traditional Arabic" w:eastAsia="Traditional Arabic" w:hAnsi="Traditional Arabic" w:cstheme="minorBidi" w:hint="cs"/>
          <w:sz w:val="36"/>
          <w:szCs w:val="32"/>
          <w:rtl/>
        </w:rPr>
        <w:t>إلي</w:t>
      </w:r>
      <w:r>
        <w:rPr>
          <w:rFonts w:ascii="Traditional Arabic" w:eastAsia="Traditional Arabic" w:hAnsi="Traditional Arabic" w:cstheme="minorBidi"/>
          <w:sz w:val="36"/>
          <w:szCs w:val="32"/>
          <w:rtl/>
        </w:rPr>
        <w:t xml:space="preserve"> سكرتير عام المحافظة بشأن توفير مبني صان الحجر الزراعي لمركز شرطة صان الحجر لاستخدامه كشونه مضبوطات، والاخر مرسل الي مأمور مركز شرطة صان الحجر القبلية بشأن تخصيص المبنى لاستخدامه شونه للمضبوطات استجابة لما جاء بكتاب سكرتير عام المحافظة لمجلس المدينة بضرورة توفير مكان لمركز الشرطة.</w:t>
      </w:r>
    </w:p>
    <w:p w:rsidR="00D932C6" w:rsidRDefault="00D932C6" w:rsidP="00D932C6">
      <w:pPr>
        <w:pStyle w:val="normal"/>
        <w:spacing w:before="120" w:after="120" w:line="240" w:lineRule="auto"/>
        <w:ind w:firstLine="567"/>
        <w:jc w:val="lowKashida"/>
        <w:rPr>
          <w:rFonts w:ascii="Traditional Arabic" w:eastAsia="Traditional Arabic" w:hAnsi="Traditional Arabic" w:cstheme="minorBidi"/>
          <w:sz w:val="36"/>
          <w:szCs w:val="32"/>
        </w:rPr>
      </w:pPr>
      <w:r>
        <w:rPr>
          <w:rFonts w:ascii="Traditional Arabic" w:eastAsia="Traditional Arabic" w:hAnsi="Traditional Arabic" w:cstheme="minorBidi"/>
          <w:sz w:val="36"/>
          <w:szCs w:val="32"/>
          <w:rtl/>
        </w:rPr>
        <w:lastRenderedPageBreak/>
        <w:t xml:space="preserve">والثابت من أقوال المحال ومن كتابه الموجه إلى مأمور مركز شرطة صان الحجر القبلية أن عملية الهدم اقتصرت على هدم سقف المبنى فقط، بما يفيد أن عملية الإزالة، وقت تسليم المبنى لقسم الشرطة المذكور، لم تنته إلى إزالة المبنى بالكامل ونزع الأبواب والشبابيك التى يفترض أنها ظلت فى أماكنها بالمبنى. أما فيما يتعلق بما ورد بأقوال السيد/على عبد المنعم عدوى عجوة، المفتش بمديرية الإسكان بمحافظة الشرقية المكلف من سلطة الإتهام بمعاينة المبنى، من أن المبنى "عبارة عن أنقاض وأن بعض الحوائط لا تزال قائمة بدون سقف" وأن "انقاض المبني خالية من وجود اي </w:t>
      </w:r>
      <w:r>
        <w:rPr>
          <w:rFonts w:ascii="Traditional Arabic" w:eastAsia="Traditional Arabic" w:hAnsi="Traditional Arabic" w:cstheme="minorBidi" w:hint="cs"/>
          <w:sz w:val="36"/>
          <w:szCs w:val="32"/>
          <w:rtl/>
        </w:rPr>
        <w:t>أبواب</w:t>
      </w:r>
      <w:r>
        <w:rPr>
          <w:rFonts w:ascii="Traditional Arabic" w:eastAsia="Traditional Arabic" w:hAnsi="Traditional Arabic" w:cstheme="minorBidi"/>
          <w:sz w:val="36"/>
          <w:szCs w:val="32"/>
          <w:rtl/>
        </w:rPr>
        <w:t xml:space="preserve"> أو شبابيك لكونها من المؤكد قديمة ومتهالكة"، فقد تم تكليف الفاحص المذكور بمعاينة المبنى أثناء التحقيقات بتاريخ 21/3/2021، أى أن المعاينة تمت بعد أن أضحى المحال غير مسئول مطلقا عن المبنى بتسليمه إلى مركز الشرطة المذكور، وبعد زوال أى سلطة له على المبنى بنقله للعمل رئيسا لمجلس مدينة الأقصر خلال شهر يوليو من عام 2019، وبالتالى فإن المحال لا يجب أن يسأل عن حالة المبنى فى تاريخ إجراء المعاينة التى لا تعبر عن حالة المبنى وقت تسليمه لمركز الشرطة. </w:t>
      </w:r>
    </w:p>
    <w:p w:rsidR="00D932C6" w:rsidRDefault="00D932C6" w:rsidP="00D932C6">
      <w:pPr>
        <w:pStyle w:val="normal"/>
        <w:spacing w:before="120" w:after="120" w:line="240" w:lineRule="auto"/>
        <w:ind w:firstLine="567"/>
        <w:jc w:val="lowKashida"/>
        <w:rPr>
          <w:rFonts w:ascii="Traditional Arabic" w:eastAsia="Traditional Arabic" w:hAnsi="Traditional Arabic" w:cstheme="minorBidi"/>
          <w:sz w:val="36"/>
          <w:szCs w:val="32"/>
        </w:rPr>
      </w:pPr>
      <w:r>
        <w:rPr>
          <w:rFonts w:ascii="Traditional Arabic" w:eastAsia="Traditional Arabic" w:hAnsi="Traditional Arabic" w:cstheme="minorBidi"/>
          <w:sz w:val="36"/>
          <w:szCs w:val="32"/>
          <w:rtl/>
        </w:rPr>
        <w:t>وفى ضوء ما تقدم، ومتى جاءت الأوراق والتحقيقات خلوا من وصف دقيق لحالة المبنى وقت تسليمه لمركز الشرطة، على خلاف الثابت من كتاب المحال إلى مأمور المركز من أنه تم إزالة سقف المبنى فقط، كما لم تبين الطريقة التى يفترض أن المحال قد تصرف بموجبها فى أبواب وشبابيك المبنى وناتج الهدم ومدى مخالفة هذه الطريقة  لأحكام قانون تنظيم التعاقدات التى تبرمها الجهات العامة الصادر بالقانون رقم (182) لسنة 2018، فإن ذلك من شأنه أن يلقى بظلال كثيفة من الشك حول صحة هذا الإتهام</w:t>
      </w:r>
      <w:r>
        <w:rPr>
          <w:rFonts w:ascii="Traditional Arabic" w:eastAsia="Traditional Arabic" w:hAnsi="Traditional Arabic" w:cstheme="minorBidi"/>
          <w:sz w:val="36"/>
          <w:szCs w:val="32"/>
        </w:rPr>
        <w:t xml:space="preserve"> </w:t>
      </w:r>
      <w:r>
        <w:rPr>
          <w:rFonts w:ascii="Traditional Arabic" w:eastAsia="Traditional Arabic" w:hAnsi="Traditional Arabic" w:cstheme="minorBidi"/>
          <w:sz w:val="36"/>
          <w:szCs w:val="32"/>
          <w:rtl/>
        </w:rPr>
        <w:t xml:space="preserve">الذى جاء بشكل مرسل يفتقد إلى أى دليل يدعمه ويثبت صحته، فهو مجرد افتراض غير قائم على حقائق وبراهين ثابتة بالأوراق، الأمر الذى يتعين معه القضاء </w:t>
      </w:r>
      <w:r>
        <w:rPr>
          <w:rFonts w:ascii="Traditional Arabic" w:eastAsia="Traditional Arabic" w:hAnsi="Traditional Arabic" w:cstheme="minorBidi" w:hint="cs"/>
          <w:sz w:val="36"/>
          <w:szCs w:val="32"/>
          <w:rtl/>
        </w:rPr>
        <w:t>ببراءة</w:t>
      </w:r>
      <w:r>
        <w:rPr>
          <w:rFonts w:ascii="Traditional Arabic" w:eastAsia="Traditional Arabic" w:hAnsi="Traditional Arabic" w:cstheme="minorBidi"/>
          <w:sz w:val="36"/>
          <w:szCs w:val="32"/>
          <w:rtl/>
        </w:rPr>
        <w:t xml:space="preserve"> المحال من ارتكابه لهذه المخالفة، ذلك أن الإدانة يجب أن تبنى على القطع واليقين وليس على مجرد افتراضات أو ظنون لا يؤيدها أى دليل. </w:t>
      </w:r>
    </w:p>
    <w:p w:rsidR="00D932C6" w:rsidRDefault="00D932C6" w:rsidP="00D932C6">
      <w:pPr>
        <w:pStyle w:val="normal"/>
        <w:spacing w:before="120" w:after="120" w:line="240" w:lineRule="auto"/>
        <w:ind w:firstLine="567"/>
        <w:jc w:val="lowKashida"/>
        <w:rPr>
          <w:rFonts w:ascii="Traditional Arabic" w:eastAsia="Traditional Arabic" w:hAnsi="Traditional Arabic" w:cstheme="minorBidi"/>
          <w:sz w:val="18"/>
          <w:szCs w:val="32"/>
        </w:rPr>
      </w:pPr>
      <w:r>
        <w:rPr>
          <w:rFonts w:ascii="Traditional Arabic" w:eastAsia="Traditional Arabic" w:hAnsi="Traditional Arabic" w:cstheme="minorBidi"/>
          <w:sz w:val="36"/>
          <w:szCs w:val="32"/>
          <w:rtl/>
        </w:rPr>
        <w:t xml:space="preserve">ولا ينال من ذلك ما قامت به اللجنة المشكلة من قبل النيابة </w:t>
      </w:r>
      <w:r>
        <w:rPr>
          <w:rFonts w:ascii="Traditional Arabic" w:eastAsia="Traditional Arabic" w:hAnsi="Traditional Arabic" w:cstheme="minorBidi" w:hint="cs"/>
          <w:sz w:val="36"/>
          <w:szCs w:val="32"/>
          <w:rtl/>
        </w:rPr>
        <w:t>الإدارية</w:t>
      </w:r>
      <w:r>
        <w:rPr>
          <w:rFonts w:ascii="Traditional Arabic" w:eastAsia="Traditional Arabic" w:hAnsi="Traditional Arabic" w:cstheme="minorBidi"/>
          <w:sz w:val="36"/>
          <w:szCs w:val="32"/>
          <w:rtl/>
        </w:rPr>
        <w:t xml:space="preserve"> بتقدير قيمة مخلفات الهدم بمبلغ </w:t>
      </w:r>
      <w:r>
        <w:rPr>
          <w:rFonts w:ascii="Traditional Arabic" w:eastAsia="Traditional Arabic" w:hAnsi="Traditional Arabic" w:cstheme="minorBidi"/>
          <w:sz w:val="32"/>
          <w:szCs w:val="32"/>
          <w:rtl/>
        </w:rPr>
        <w:t>4050 جنيه</w:t>
      </w:r>
      <w:r>
        <w:rPr>
          <w:rFonts w:ascii="Traditional Arabic" w:eastAsia="Traditional Arabic" w:hAnsi="Traditional Arabic" w:cstheme="minorBidi"/>
          <w:sz w:val="36"/>
          <w:szCs w:val="32"/>
          <w:rtl/>
        </w:rPr>
        <w:t>، باعتبار أن هذا التقدير جاء جزافيا وتم بالمقارنة بحالة المثل، وأن هذه اللجنة لم تتعرض مطلقا لمدى مسئولية المحال عن المخالفة المنسوبة إليه.</w:t>
      </w:r>
      <w:r>
        <w:rPr>
          <w:rFonts w:ascii="Traditional Arabic" w:eastAsia="Traditional Arabic" w:hAnsi="Traditional Arabic" w:cstheme="minorBidi"/>
          <w:sz w:val="32"/>
          <w:szCs w:val="32"/>
          <w:rtl/>
        </w:rPr>
        <w:t xml:space="preserve"> </w:t>
      </w:r>
    </w:p>
    <w:p w:rsidR="00D932C6" w:rsidRPr="00D932C6" w:rsidRDefault="00D932C6" w:rsidP="00D932C6">
      <w:pPr>
        <w:pStyle w:val="normal"/>
        <w:spacing w:before="120" w:after="120" w:line="240" w:lineRule="auto"/>
        <w:ind w:hanging="24"/>
        <w:jc w:val="center"/>
        <w:rPr>
          <w:rFonts w:ascii="Traditional Arabic" w:eastAsia="Traditional Arabic" w:hAnsi="Traditional Arabic" w:cstheme="minorBidi"/>
          <w:bCs/>
          <w:sz w:val="32"/>
          <w:szCs w:val="32"/>
          <w:u w:val="single"/>
        </w:rPr>
      </w:pPr>
      <w:r w:rsidRPr="00D932C6">
        <w:rPr>
          <w:rFonts w:ascii="Traditional Arabic" w:eastAsia="Traditional Arabic" w:hAnsi="Traditional Arabic" w:cstheme="minorBidi"/>
          <w:bCs/>
          <w:sz w:val="32"/>
          <w:szCs w:val="32"/>
          <w:u w:val="single"/>
          <w:rtl/>
        </w:rPr>
        <w:t>فلهذه الأسبـــاب</w:t>
      </w:r>
    </w:p>
    <w:p w:rsidR="00D932C6" w:rsidRDefault="00D932C6" w:rsidP="00D932C6">
      <w:pPr>
        <w:pStyle w:val="normal"/>
        <w:spacing w:before="120" w:after="120" w:line="240" w:lineRule="auto"/>
        <w:ind w:firstLine="567"/>
        <w:jc w:val="lowKashida"/>
        <w:rPr>
          <w:rFonts w:ascii="Traditional Arabic" w:eastAsia="Traditional Arabic" w:hAnsi="Traditional Arabic" w:cstheme="minorBidi"/>
          <w:b/>
          <w:sz w:val="32"/>
          <w:szCs w:val="32"/>
        </w:rPr>
      </w:pPr>
      <w:bookmarkStart w:id="2" w:name="_30j0zll"/>
      <w:bookmarkEnd w:id="2"/>
      <w:r>
        <w:rPr>
          <w:rFonts w:ascii="Traditional Arabic" w:eastAsia="Traditional Arabic" w:hAnsi="Traditional Arabic" w:cstheme="minorBidi"/>
          <w:b/>
          <w:sz w:val="32"/>
          <w:szCs w:val="32"/>
          <w:rtl/>
        </w:rPr>
        <w:t xml:space="preserve">حكمت المحكمة: براءة المحال / أحمد أنور عيسي محمد مما نسب إليه. </w:t>
      </w:r>
    </w:p>
    <w:p w:rsidR="006C44F1" w:rsidRDefault="006C44F1" w:rsidP="002348F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C62" w:rsidRDefault="00E63C62">
      <w:r>
        <w:separator/>
      </w:r>
    </w:p>
  </w:endnote>
  <w:endnote w:type="continuationSeparator" w:id="1">
    <w:p w:rsidR="00E63C62" w:rsidRDefault="00E63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F3A8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F3A8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A94336">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C62" w:rsidRDefault="00E63C62">
      <w:r>
        <w:separator/>
      </w:r>
    </w:p>
  </w:footnote>
  <w:footnote w:type="continuationSeparator" w:id="1">
    <w:p w:rsidR="00E63C62" w:rsidRDefault="00E63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1275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1275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A94336">
          <w:rPr>
            <w:rFonts w:hint="cs"/>
            <w:sz w:val="28"/>
            <w:szCs w:val="28"/>
            <w:u w:val="single"/>
            <w:rtl/>
            <w:lang w:bidi="ar-EG"/>
          </w:rPr>
          <w:t>في الدعوي رقم 64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-264795</wp:posOffset>
          </wp:positionV>
          <wp:extent cx="635000" cy="5461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461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4DB022C"/>
    <w:multiLevelType w:val="multilevel"/>
    <w:tmpl w:val="854E94A0"/>
    <w:lvl w:ilvl="0">
      <w:numFmt w:val="bullet"/>
      <w:lvlText w:val="-"/>
      <w:lvlJc w:val="left"/>
      <w:pPr>
        <w:ind w:left="720" w:right="-210" w:hanging="360"/>
      </w:pPr>
      <w:rPr>
        <w:rFonts w:ascii="Traditional Arabic" w:eastAsia="Traditional Arabic" w:hAnsi="Traditional Arabic" w:cs="Traditional Arabic"/>
      </w:rPr>
    </w:lvl>
    <w:lvl w:ilvl="1">
      <w:start w:val="1"/>
      <w:numFmt w:val="bullet"/>
      <w:lvlText w:val="o"/>
      <w:lvlJc w:val="left"/>
      <w:pPr>
        <w:ind w:left="1440" w:right="510" w:hanging="360"/>
      </w:pPr>
      <w:rPr>
        <w:rFonts w:ascii="Courier New" w:eastAsia="Courier New" w:hAnsi="Courier New" w:cs="Courier New"/>
      </w:rPr>
    </w:lvl>
    <w:lvl w:ilvl="2">
      <w:start w:val="1"/>
      <w:numFmt w:val="bullet"/>
      <w:lvlText w:val="▪"/>
      <w:lvlJc w:val="left"/>
      <w:pPr>
        <w:ind w:left="2160" w:right="1230" w:hanging="360"/>
      </w:pPr>
      <w:rPr>
        <w:rFonts w:ascii="Noto Sans Symbols" w:eastAsia="Noto Sans Symbols" w:hAnsi="Noto Sans Symbols" w:cs="Noto Sans Symbols"/>
      </w:rPr>
    </w:lvl>
    <w:lvl w:ilvl="3">
      <w:start w:val="1"/>
      <w:numFmt w:val="bullet"/>
      <w:lvlText w:val="●"/>
      <w:lvlJc w:val="left"/>
      <w:pPr>
        <w:ind w:left="2880" w:right="1950" w:hanging="360"/>
      </w:pPr>
      <w:rPr>
        <w:rFonts w:ascii="Noto Sans Symbols" w:eastAsia="Noto Sans Symbols" w:hAnsi="Noto Sans Symbols" w:cs="Noto Sans Symbols"/>
      </w:rPr>
    </w:lvl>
    <w:lvl w:ilvl="4">
      <w:start w:val="1"/>
      <w:numFmt w:val="bullet"/>
      <w:lvlText w:val="o"/>
      <w:lvlJc w:val="left"/>
      <w:pPr>
        <w:ind w:left="3600" w:right="2670" w:hanging="360"/>
      </w:pPr>
      <w:rPr>
        <w:rFonts w:ascii="Courier New" w:eastAsia="Courier New" w:hAnsi="Courier New" w:cs="Courier New"/>
      </w:rPr>
    </w:lvl>
    <w:lvl w:ilvl="5">
      <w:start w:val="1"/>
      <w:numFmt w:val="bullet"/>
      <w:lvlText w:val="▪"/>
      <w:lvlJc w:val="left"/>
      <w:pPr>
        <w:ind w:left="4320" w:right="3390" w:hanging="360"/>
      </w:pPr>
      <w:rPr>
        <w:rFonts w:ascii="Noto Sans Symbols" w:eastAsia="Noto Sans Symbols" w:hAnsi="Noto Sans Symbols" w:cs="Noto Sans Symbols"/>
      </w:rPr>
    </w:lvl>
    <w:lvl w:ilvl="6">
      <w:start w:val="1"/>
      <w:numFmt w:val="bullet"/>
      <w:lvlText w:val="●"/>
      <w:lvlJc w:val="left"/>
      <w:pPr>
        <w:ind w:left="5040" w:right="4110" w:hanging="360"/>
      </w:pPr>
      <w:rPr>
        <w:rFonts w:ascii="Noto Sans Symbols" w:eastAsia="Noto Sans Symbols" w:hAnsi="Noto Sans Symbols" w:cs="Noto Sans Symbols"/>
      </w:rPr>
    </w:lvl>
    <w:lvl w:ilvl="7">
      <w:start w:val="1"/>
      <w:numFmt w:val="bullet"/>
      <w:lvlText w:val="o"/>
      <w:lvlJc w:val="left"/>
      <w:pPr>
        <w:ind w:left="5760" w:right="4830" w:hanging="360"/>
      </w:pPr>
      <w:rPr>
        <w:rFonts w:ascii="Courier New" w:eastAsia="Courier New" w:hAnsi="Courier New" w:cs="Courier New"/>
      </w:rPr>
    </w:lvl>
    <w:lvl w:ilvl="8">
      <w:start w:val="1"/>
      <w:numFmt w:val="bullet"/>
      <w:lvlText w:val="▪"/>
      <w:lvlJc w:val="left"/>
      <w:pPr>
        <w:ind w:left="6480" w:right="5550" w:hanging="360"/>
      </w:pPr>
      <w:rPr>
        <w:rFonts w:ascii="Noto Sans Symbols" w:eastAsia="Noto Sans Symbols" w:hAnsi="Noto Sans Symbols" w:cs="Noto Sans Symbols"/>
      </w:r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5"/>
  </w:num>
  <w:num w:numId="18">
    <w:abstractNumId w:val="1"/>
  </w:num>
  <w:num w:numId="19">
    <w:abstractNumId w:val="15"/>
  </w:num>
  <w:num w:numId="20">
    <w:abstractNumId w:val="21"/>
  </w:num>
  <w:num w:numId="21">
    <w:abstractNumId w:val="29"/>
  </w:num>
  <w:num w:numId="22">
    <w:abstractNumId w:val="18"/>
  </w:num>
  <w:num w:numId="23">
    <w:abstractNumId w:val="36"/>
  </w:num>
  <w:num w:numId="24">
    <w:abstractNumId w:val="37"/>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969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19"/>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8C9"/>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856"/>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AC2"/>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D76"/>
    <w:rsid w:val="005C2F0B"/>
    <w:rsid w:val="005C318C"/>
    <w:rsid w:val="005C3296"/>
    <w:rsid w:val="005C3427"/>
    <w:rsid w:val="005C3B3B"/>
    <w:rsid w:val="005C3E6D"/>
    <w:rsid w:val="005C46EB"/>
    <w:rsid w:val="005C537B"/>
    <w:rsid w:val="005C5A39"/>
    <w:rsid w:val="005C5A83"/>
    <w:rsid w:val="005C5D0F"/>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89"/>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18D"/>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481"/>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6F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7BB"/>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9B1"/>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336"/>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9FA"/>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6FC2"/>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2C7"/>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15A"/>
    <w:rsid w:val="00CA4378"/>
    <w:rsid w:val="00CA45B2"/>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2C6"/>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62"/>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7C0"/>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734"/>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paragraph" w:customStyle="1" w:styleId="normal">
    <w:name w:val="normal"/>
    <w:rsid w:val="00D932C6"/>
    <w:pPr>
      <w:bidi/>
      <w:spacing w:after="200" w:line="276" w:lineRule="auto"/>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72183311">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5135"/>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5D35"/>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AF1837"/>
    <w:rsid w:val="00AF737C"/>
    <w:rsid w:val="00B33C74"/>
    <w:rsid w:val="00B7370B"/>
    <w:rsid w:val="00C1305B"/>
    <w:rsid w:val="00C203EE"/>
    <w:rsid w:val="00C523D1"/>
    <w:rsid w:val="00C66D8B"/>
    <w:rsid w:val="00CB590A"/>
    <w:rsid w:val="00CB76C3"/>
    <w:rsid w:val="00CD1CB3"/>
    <w:rsid w:val="00CD2AA3"/>
    <w:rsid w:val="00CD3CE5"/>
    <w:rsid w:val="00CD78B3"/>
    <w:rsid w:val="00CD7E59"/>
    <w:rsid w:val="00CF4310"/>
    <w:rsid w:val="00D0187A"/>
    <w:rsid w:val="00D2710C"/>
    <w:rsid w:val="00D416F0"/>
    <w:rsid w:val="00D53A6C"/>
    <w:rsid w:val="00DB09ED"/>
    <w:rsid w:val="00EB2D08"/>
    <w:rsid w:val="00EE412C"/>
    <w:rsid w:val="00F53499"/>
    <w:rsid w:val="00F6246A"/>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1624</Words>
  <Characters>9257</Characters>
  <Application>Microsoft Office Word</Application>
  <DocSecurity>0</DocSecurity>
  <Lines>77</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61</cp:revision>
  <cp:lastPrinted>2019-10-26T08:39:00Z</cp:lastPrinted>
  <dcterms:created xsi:type="dcterms:W3CDTF">2019-09-24T23:17:00Z</dcterms:created>
  <dcterms:modified xsi:type="dcterms:W3CDTF">2022-03-05T23:04:00Z</dcterms:modified>
  <cp:contentStatus>في الدعوي رقم 64 لسنة 64 ق.</cp:contentStatus>
</cp:coreProperties>
</file>