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3412BB">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3412BB">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3412BB">
        <w:rPr>
          <w:rFonts w:ascii="Arial" w:hAnsi="Arial" w:cs="Arial" w:hint="cs"/>
          <w:sz w:val="32"/>
          <w:szCs w:val="32"/>
          <w:rtl/>
          <w:lang w:bidi="ar-EG"/>
        </w:rPr>
        <w:t>11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6F24AB" w:rsidP="00D72B38">
      <w:pPr>
        <w:bidi/>
        <w:spacing w:line="276" w:lineRule="auto"/>
        <w:jc w:val="both"/>
        <w:rPr>
          <w:rFonts w:ascii="Arial" w:hAnsi="Arial" w:cs="Arial"/>
          <w:sz w:val="32"/>
          <w:szCs w:val="32"/>
          <w:rtl/>
          <w:lang w:bidi="ar-EG"/>
        </w:rPr>
      </w:pPr>
      <w:r>
        <w:rPr>
          <w:rFonts w:ascii="Arial" w:hAnsi="Arial" w:cs="Arial"/>
          <w:sz w:val="32"/>
          <w:szCs w:val="32"/>
          <w:rtl/>
          <w:lang w:bidi="ar-EG"/>
        </w:rPr>
        <w:t xml:space="preserve">وحضور </w:t>
      </w:r>
      <w:r w:rsidR="007E2209" w:rsidRPr="0073745E">
        <w:rPr>
          <w:rFonts w:ascii="Arial" w:hAnsi="Arial" w:cs="Arial"/>
          <w:sz w:val="32"/>
          <w:szCs w:val="32"/>
          <w:rtl/>
          <w:lang w:bidi="ar-EG"/>
        </w:rPr>
        <w:t>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AD18A8">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AD18A8">
            <w:rPr>
              <w:rFonts w:ascii="Arial" w:hAnsi="Arial" w:cs="Arial" w:hint="cs"/>
              <w:sz w:val="32"/>
              <w:szCs w:val="32"/>
              <w:rtl/>
              <w:lang w:bidi="ar-EG"/>
            </w:rPr>
            <w:t>95</w:t>
          </w:r>
          <w:r>
            <w:rPr>
              <w:rFonts w:ascii="Arial" w:hAnsi="Arial" w:cs="Arial" w:hint="cs"/>
              <w:sz w:val="32"/>
              <w:szCs w:val="32"/>
              <w:rtl/>
              <w:lang w:bidi="ar-EG"/>
            </w:rPr>
            <w:t xml:space="preserve"> لسنة </w:t>
          </w:r>
          <w:r w:rsidR="00AD18A8">
            <w:rPr>
              <w:rFonts w:ascii="Arial" w:hAnsi="Arial" w:cs="Arial" w:hint="cs"/>
              <w:sz w:val="32"/>
              <w:szCs w:val="32"/>
              <w:rtl/>
              <w:lang w:bidi="ar-EG"/>
            </w:rPr>
            <w:t>63</w:t>
          </w:r>
          <w:r>
            <w:rPr>
              <w:rFonts w:ascii="Arial" w:hAnsi="Arial" w:cs="Arial" w:hint="cs"/>
              <w:sz w:val="32"/>
              <w:szCs w:val="32"/>
              <w:rtl/>
              <w:lang w:bidi="ar-EG"/>
            </w:rPr>
            <w:t xml:space="preserve"> ق.</w:t>
          </w:r>
        </w:p>
      </w:sdtContent>
    </w:sdt>
    <w:p w:rsidR="00AD18A8" w:rsidRPr="00AD18A8" w:rsidRDefault="00AD18A8" w:rsidP="00AD18A8">
      <w:pPr>
        <w:bidi/>
        <w:ind w:left="170" w:right="-180"/>
        <w:jc w:val="center"/>
        <w:rPr>
          <w:rFonts w:asciiTheme="minorBidi" w:hAnsiTheme="minorBidi" w:cstheme="minorBidi"/>
          <w:b/>
          <w:bCs/>
          <w:sz w:val="32"/>
          <w:szCs w:val="32"/>
          <w:lang w:bidi="ar-EG"/>
        </w:rPr>
      </w:pPr>
      <w:r w:rsidRPr="00AD18A8">
        <w:rPr>
          <w:rFonts w:asciiTheme="minorBidi" w:hAnsiTheme="minorBidi" w:cstheme="minorBidi"/>
          <w:b/>
          <w:bCs/>
          <w:sz w:val="32"/>
          <w:szCs w:val="32"/>
          <w:u w:val="single"/>
          <w:rtl/>
          <w:lang w:bidi="ar-EG"/>
        </w:rPr>
        <w:t>المقامة من :</w:t>
      </w:r>
      <w:r w:rsidRPr="00AD18A8">
        <w:rPr>
          <w:rFonts w:asciiTheme="minorBidi" w:hAnsiTheme="minorBidi" w:cstheme="minorBidi"/>
          <w:b/>
          <w:bCs/>
          <w:sz w:val="32"/>
          <w:szCs w:val="32"/>
          <w:rtl/>
          <w:lang w:bidi="ar-EG"/>
        </w:rPr>
        <w:t xml:space="preserve"> </w:t>
      </w:r>
    </w:p>
    <w:p w:rsidR="00AD18A8" w:rsidRDefault="00AD18A8" w:rsidP="00AD18A8">
      <w:pPr>
        <w:bidi/>
        <w:ind w:left="170" w:right="-180"/>
        <w:jc w:val="center"/>
        <w:rPr>
          <w:rFonts w:asciiTheme="minorBidi" w:hAnsiTheme="minorBidi" w:cstheme="minorBidi"/>
          <w:sz w:val="32"/>
          <w:szCs w:val="32"/>
          <w:rtl/>
          <w:lang w:bidi="ar-EG"/>
        </w:rPr>
      </w:pPr>
      <w:r>
        <w:rPr>
          <w:rFonts w:asciiTheme="minorBidi" w:hAnsiTheme="minorBidi" w:cstheme="minorBidi"/>
          <w:sz w:val="32"/>
          <w:szCs w:val="32"/>
          <w:rtl/>
          <w:lang w:bidi="ar-EG"/>
        </w:rPr>
        <w:t xml:space="preserve">النيابة الإدارية </w:t>
      </w:r>
    </w:p>
    <w:p w:rsidR="00AD18A8" w:rsidRPr="00AD18A8" w:rsidRDefault="00AD18A8" w:rsidP="00AD18A8">
      <w:pPr>
        <w:bidi/>
        <w:ind w:left="170" w:right="-180"/>
        <w:jc w:val="center"/>
        <w:rPr>
          <w:rFonts w:asciiTheme="minorBidi" w:hAnsiTheme="minorBidi" w:cstheme="minorBidi"/>
          <w:b/>
          <w:bCs/>
          <w:sz w:val="32"/>
          <w:szCs w:val="32"/>
          <w:lang w:bidi="ar-EG"/>
        </w:rPr>
      </w:pPr>
      <w:r w:rsidRPr="00AD18A8">
        <w:rPr>
          <w:rFonts w:asciiTheme="minorBidi" w:hAnsiTheme="minorBidi" w:cstheme="minorBidi"/>
          <w:b/>
          <w:bCs/>
          <w:sz w:val="32"/>
          <w:szCs w:val="32"/>
          <w:u w:val="single"/>
          <w:rtl/>
          <w:lang w:bidi="ar-EG"/>
        </w:rPr>
        <w:t>ضــــــــــــد :</w:t>
      </w:r>
    </w:p>
    <w:p w:rsidR="00AD18A8" w:rsidRDefault="00AD18A8" w:rsidP="00AD18A8">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(1) عادل جرجس متى.</w:t>
      </w:r>
    </w:p>
    <w:p w:rsidR="00AD18A8" w:rsidRDefault="00AD18A8" w:rsidP="00AD18A8">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(2) سامح عمر عبد الستار عمر .</w:t>
      </w:r>
    </w:p>
    <w:p w:rsidR="00AD18A8" w:rsidRDefault="00AD18A8" w:rsidP="00AD18A8">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(3) رجب إبراهيم عبد الحميد .</w:t>
      </w:r>
    </w:p>
    <w:p w:rsidR="00AD18A8" w:rsidRDefault="00AD18A8" w:rsidP="00AD18A8">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(4) أكرم محفوظ غالي .</w:t>
      </w:r>
    </w:p>
    <w:p w:rsidR="00AD18A8" w:rsidRPr="00AD18A8" w:rsidRDefault="00AD18A8" w:rsidP="00AD18A8">
      <w:pPr>
        <w:bidi/>
        <w:ind w:left="170" w:right="-180"/>
        <w:rPr>
          <w:rFonts w:asciiTheme="minorBidi" w:hAnsiTheme="minorBidi" w:cstheme="minorBidi"/>
          <w:b/>
          <w:bCs/>
          <w:sz w:val="32"/>
          <w:szCs w:val="32"/>
          <w:u w:val="single"/>
          <w:rtl/>
          <w:lang w:bidi="ar-EG"/>
        </w:rPr>
      </w:pPr>
      <w:r w:rsidRPr="00AD18A8">
        <w:rPr>
          <w:rFonts w:asciiTheme="minorBidi" w:hAnsiTheme="minorBidi" w:cstheme="minorBidi"/>
          <w:b/>
          <w:bCs/>
          <w:sz w:val="32"/>
          <w:szCs w:val="32"/>
          <w:u w:val="single"/>
          <w:rtl/>
          <w:lang w:bidi="ar-EG"/>
        </w:rPr>
        <w:t>الوقــائـــــع</w:t>
      </w:r>
    </w:p>
    <w:p w:rsidR="00AD18A8" w:rsidRPr="00AD18A8" w:rsidRDefault="005A39F7" w:rsidP="00AD18A8">
      <w:pPr>
        <w:pStyle w:val="aa"/>
        <w:ind w:left="170" w:right="227"/>
        <w:jc w:val="both"/>
        <w:rPr>
          <w:rFonts w:asciiTheme="minorBidi" w:hAnsiTheme="minorBidi" w:cstheme="minorBidi"/>
          <w:sz w:val="32"/>
          <w:szCs w:val="32"/>
          <w:rtl/>
          <w:lang w:bidi="ar-EG"/>
        </w:rPr>
      </w:pPr>
      <w:r>
        <w:rPr>
          <w:rFonts w:asciiTheme="minorBidi" w:hAnsiTheme="minorBidi" w:cstheme="minorBidi" w:hint="cs"/>
          <w:sz w:val="32"/>
          <w:szCs w:val="32"/>
          <w:rtl/>
        </w:rPr>
        <w:t xml:space="preserve">     </w:t>
      </w:r>
      <w:r w:rsidR="00AD18A8" w:rsidRPr="00AD18A8">
        <w:rPr>
          <w:rFonts w:asciiTheme="minorBidi" w:hAnsiTheme="minorBidi" w:cstheme="minorBidi" w:hint="cs"/>
          <w:sz w:val="32"/>
          <w:szCs w:val="32"/>
          <w:rtl/>
        </w:rPr>
        <w:t>أقامت النيابة الإدارية الدعوى الماثلة بإيداع أوراقها قلم كتاب المحكمة التأديبية لوزارة الصحة وملحقاتها بتاريخ 3/6/2020، وقيدت بجدولها العام تحت رقم 611 لسنة 62 ق، مشتملة على ملف التحقيقات في القضية رقم 435 لسنة 2016 نيابة قسم رابع الجيزة الإدارية، وتقرير اتهام ضد كل من:</w:t>
      </w:r>
    </w:p>
    <w:p w:rsidR="00AD18A8" w:rsidRPr="00AD18A8" w:rsidRDefault="00AD18A8" w:rsidP="00AD18A8">
      <w:pPr>
        <w:pStyle w:val="aa"/>
        <w:ind w:left="170" w:right="227"/>
        <w:jc w:val="both"/>
        <w:rPr>
          <w:rFonts w:asciiTheme="minorBidi" w:hAnsiTheme="minorBidi" w:cstheme="minorBidi"/>
          <w:sz w:val="32"/>
          <w:szCs w:val="32"/>
          <w:rtl/>
        </w:rPr>
      </w:pPr>
      <w:r w:rsidRPr="00AD18A8">
        <w:rPr>
          <w:rFonts w:asciiTheme="minorBidi" w:hAnsiTheme="minorBidi" w:cstheme="minorBidi" w:hint="cs"/>
          <w:sz w:val="32"/>
          <w:szCs w:val="32"/>
          <w:rtl/>
        </w:rPr>
        <w:t>(1) عادل جرجس متى، مدير إدارة الحسابات بمديرية الشباب والرياضة بأسوان حاليا، وسابقا بالهيئة العامة لمشروعات التعمير والتنمية الزراعية، الدرجة الأولى.</w:t>
      </w:r>
    </w:p>
    <w:p w:rsidR="00AD18A8" w:rsidRPr="00AD18A8" w:rsidRDefault="00AD18A8" w:rsidP="00AD18A8">
      <w:pPr>
        <w:pStyle w:val="aa"/>
        <w:ind w:left="170" w:right="227"/>
        <w:jc w:val="both"/>
        <w:rPr>
          <w:rFonts w:asciiTheme="minorBidi" w:hAnsiTheme="minorBidi" w:cstheme="minorBidi"/>
          <w:sz w:val="32"/>
          <w:szCs w:val="32"/>
          <w:rtl/>
        </w:rPr>
      </w:pPr>
      <w:r w:rsidRPr="00AD18A8">
        <w:rPr>
          <w:rFonts w:asciiTheme="minorBidi" w:hAnsiTheme="minorBidi" w:cstheme="minorBidi" w:hint="cs"/>
          <w:sz w:val="32"/>
          <w:szCs w:val="32"/>
          <w:rtl/>
        </w:rPr>
        <w:t>(2) سامح عمر عبد الستار عمر، مدير إدارة الحسابات بهيئة تنمية بحيرة السد العالي، الدرجة</w:t>
      </w:r>
      <w:r w:rsidR="005A39F7">
        <w:rPr>
          <w:rFonts w:asciiTheme="minorBidi" w:hAnsiTheme="minorBidi" w:cstheme="minorBidi"/>
          <w:sz w:val="32"/>
          <w:szCs w:val="32"/>
          <w:rtl/>
        </w:rPr>
        <w:br/>
      </w:r>
      <w:r w:rsidRPr="00AD18A8">
        <w:rPr>
          <w:rFonts w:asciiTheme="minorBidi" w:hAnsiTheme="minorBidi" w:cstheme="minorBidi" w:hint="cs"/>
          <w:sz w:val="32"/>
          <w:szCs w:val="32"/>
          <w:rtl/>
        </w:rPr>
        <w:t xml:space="preserve"> الأولى .</w:t>
      </w:r>
    </w:p>
    <w:p w:rsidR="00AD18A8" w:rsidRPr="00AD18A8" w:rsidRDefault="00AD18A8" w:rsidP="00AD18A8">
      <w:pPr>
        <w:pStyle w:val="aa"/>
        <w:ind w:left="170" w:right="227"/>
        <w:jc w:val="both"/>
        <w:rPr>
          <w:rFonts w:asciiTheme="minorBidi" w:hAnsiTheme="minorBidi" w:cstheme="minorBidi"/>
          <w:sz w:val="32"/>
          <w:szCs w:val="32"/>
          <w:rtl/>
        </w:rPr>
      </w:pPr>
      <w:r w:rsidRPr="00AD18A8">
        <w:rPr>
          <w:rFonts w:asciiTheme="minorBidi" w:hAnsiTheme="minorBidi" w:cstheme="minorBidi" w:hint="cs"/>
          <w:sz w:val="32"/>
          <w:szCs w:val="32"/>
          <w:rtl/>
        </w:rPr>
        <w:t>(3) رجب إبراهيم عبد الحميد، مدير عام بقطاع الحسابات والمديريات المالية، والمنتدب لوظيفة مراقب مالي بوزارة الزراعة، على المعاش .</w:t>
      </w:r>
    </w:p>
    <w:p w:rsidR="00AD18A8" w:rsidRPr="00AD18A8" w:rsidRDefault="00AD18A8" w:rsidP="00AD18A8">
      <w:pPr>
        <w:pStyle w:val="aa"/>
        <w:ind w:left="170" w:right="227"/>
        <w:jc w:val="both"/>
        <w:rPr>
          <w:rFonts w:asciiTheme="minorBidi" w:hAnsiTheme="minorBidi" w:cstheme="minorBidi"/>
          <w:sz w:val="32"/>
          <w:szCs w:val="32"/>
          <w:rtl/>
        </w:rPr>
      </w:pPr>
      <w:r w:rsidRPr="00AD18A8">
        <w:rPr>
          <w:rFonts w:asciiTheme="minorBidi" w:hAnsiTheme="minorBidi" w:cstheme="minorBidi" w:hint="cs"/>
          <w:sz w:val="32"/>
          <w:szCs w:val="32"/>
          <w:rtl/>
        </w:rPr>
        <w:t>(4) أكرم محفوظ غالي، رئيس الإدارة المركزية لختاميات الهيئات الاقتصادية بوزارة المالية، الدرجة العالية، على المعاش.</w:t>
      </w:r>
    </w:p>
    <w:p w:rsidR="00AD18A8" w:rsidRPr="00AD18A8" w:rsidRDefault="00AD18A8" w:rsidP="00AD18A8">
      <w:pPr>
        <w:pStyle w:val="aa"/>
        <w:ind w:left="170" w:right="227"/>
        <w:jc w:val="both"/>
        <w:rPr>
          <w:rFonts w:asciiTheme="minorBidi" w:hAnsiTheme="minorBidi" w:cstheme="minorBidi"/>
          <w:sz w:val="32"/>
          <w:szCs w:val="32"/>
          <w:rtl/>
        </w:rPr>
      </w:pPr>
      <w:r w:rsidRPr="00AD18A8">
        <w:rPr>
          <w:rFonts w:asciiTheme="minorBidi" w:hAnsiTheme="minorBidi" w:cstheme="minorBidi" w:hint="cs"/>
          <w:sz w:val="32"/>
          <w:szCs w:val="32"/>
          <w:rtl/>
        </w:rPr>
        <w:t>لأنهم خلال عامي 2012/2013 وبدائرة عملهم وبوصفهم السابق، خرجوا على مقتضى الواجب الوظيفي ولم يؤدوا العمل المنوط بهم بدقة وخالفوا القواعد والأحكام المالية واتوا ما من شأنه المساس بمصلحة مالية للدولة بأن :</w:t>
      </w:r>
    </w:p>
    <w:p w:rsidR="00AD18A8" w:rsidRPr="00AD18A8" w:rsidRDefault="00AD18A8" w:rsidP="00AD18A8">
      <w:pPr>
        <w:pStyle w:val="aa"/>
        <w:ind w:left="170" w:right="227"/>
        <w:jc w:val="both"/>
        <w:rPr>
          <w:rFonts w:asciiTheme="minorBidi" w:hAnsiTheme="minorBidi" w:cstheme="minorBidi"/>
          <w:sz w:val="32"/>
          <w:szCs w:val="32"/>
          <w:rtl/>
        </w:rPr>
      </w:pPr>
      <w:r w:rsidRPr="00AD18A8">
        <w:rPr>
          <w:rFonts w:asciiTheme="minorBidi" w:hAnsiTheme="minorBidi" w:cstheme="minorBidi" w:hint="cs"/>
          <w:sz w:val="32"/>
          <w:szCs w:val="32"/>
          <w:rtl/>
        </w:rPr>
        <w:t>تقاضوا مبالغ مالية نظير حضور جلسات لجان نقل الأصول وتقييم الأصول والمتأخرات بالمخالفة لقرارات وزير المالية رقم 199 لسنة 1992، 92 لسنة 2012، وذلك على النحو الموضح تفصلا بالأوراق .</w:t>
      </w:r>
    </w:p>
    <w:p w:rsidR="00AD18A8" w:rsidRPr="00AD18A8" w:rsidRDefault="00AD18A8" w:rsidP="005A39F7">
      <w:pPr>
        <w:pStyle w:val="1"/>
        <w:spacing w:after="240"/>
        <w:ind w:left="170" w:right="227" w:firstLine="373"/>
        <w:jc w:val="both"/>
        <w:rPr>
          <w:rFonts w:asciiTheme="minorBidi" w:hAnsiTheme="minorBidi" w:cstheme="minorBidi"/>
          <w:b w:val="0"/>
          <w:bCs w:val="0"/>
          <w:sz w:val="32"/>
          <w:szCs w:val="32"/>
          <w:rtl/>
        </w:rPr>
      </w:pPr>
      <w:r w:rsidRPr="00AD18A8">
        <w:rPr>
          <w:rFonts w:asciiTheme="minorBidi" w:hAnsiTheme="minorBidi" w:cstheme="minorBidi" w:hint="cs"/>
          <w:b w:val="0"/>
          <w:bCs w:val="0"/>
          <w:sz w:val="32"/>
          <w:szCs w:val="32"/>
          <w:rtl/>
        </w:rPr>
        <w:lastRenderedPageBreak/>
        <w:t>وارتأت النيابة الإدارية أن المحالَين المذكورين قد ارتكبوا المخالفات الإدارية والمالية بالمواد 76/1، 77/3، 4 من القانون رقم 47 لسنة 1978 بشأن نظام العاملين المدنيين بالدولة، والمواد 57، 58، 60، 61، 62، 66 من قانون الخدمة المدنية رقم 81 لسنة 2016 .</w:t>
      </w:r>
    </w:p>
    <w:p w:rsidR="00AD18A8" w:rsidRPr="00AD18A8" w:rsidRDefault="00AD18A8" w:rsidP="005A39F7">
      <w:pPr>
        <w:pStyle w:val="1"/>
        <w:spacing w:after="240"/>
        <w:ind w:left="170" w:right="227" w:firstLine="373"/>
        <w:jc w:val="both"/>
        <w:rPr>
          <w:rFonts w:asciiTheme="minorBidi" w:hAnsiTheme="minorBidi" w:cstheme="minorBidi"/>
          <w:b w:val="0"/>
          <w:bCs w:val="0"/>
          <w:sz w:val="32"/>
          <w:szCs w:val="32"/>
          <w:rtl/>
        </w:rPr>
      </w:pPr>
      <w:r w:rsidRPr="00AD18A8">
        <w:rPr>
          <w:rFonts w:asciiTheme="minorBidi" w:hAnsiTheme="minorBidi" w:cstheme="minorBidi" w:hint="cs"/>
          <w:b w:val="0"/>
          <w:bCs w:val="0"/>
          <w:sz w:val="32"/>
          <w:szCs w:val="32"/>
          <w:rtl/>
        </w:rPr>
        <w:t xml:space="preserve">وطلبت النيابة </w:t>
      </w:r>
      <w:r w:rsidR="005A39F7" w:rsidRPr="00AD18A8">
        <w:rPr>
          <w:rFonts w:asciiTheme="minorBidi" w:hAnsiTheme="minorBidi" w:cstheme="minorBidi" w:hint="cs"/>
          <w:b w:val="0"/>
          <w:bCs w:val="0"/>
          <w:sz w:val="32"/>
          <w:szCs w:val="32"/>
          <w:rtl/>
        </w:rPr>
        <w:t>الإدارية</w:t>
      </w:r>
      <w:r w:rsidRPr="00AD18A8">
        <w:rPr>
          <w:rFonts w:asciiTheme="minorBidi" w:hAnsiTheme="minorBidi" w:cstheme="minorBidi" w:hint="cs"/>
          <w:b w:val="0"/>
          <w:bCs w:val="0"/>
          <w:sz w:val="32"/>
          <w:szCs w:val="32"/>
          <w:rtl/>
        </w:rPr>
        <w:t xml:space="preserve"> محاكمة المحالين تأديبيا طبقا للمواد سالفة الذكر، والمادة الأولى من القانون رقم 19 لسنة 1959 بشأن سريان أحكام قانون النيابة الإدارية والمحاكمات التأديبية على موظفي المؤسسات والهيئات العامة والشركات والجمعيات والهيئات الخاصة، والمادة (13) من القانون رقم 61 لسنة 1963 بشأن الهيئات العامة، والمادة (14) من القانون رقم 117 لسنة 1958 بشأن </w:t>
      </w:r>
      <w:r w:rsidR="005A39F7" w:rsidRPr="00AD18A8">
        <w:rPr>
          <w:rFonts w:asciiTheme="minorBidi" w:hAnsiTheme="minorBidi" w:cstheme="minorBidi" w:hint="cs"/>
          <w:b w:val="0"/>
          <w:bCs w:val="0"/>
          <w:sz w:val="32"/>
          <w:szCs w:val="32"/>
          <w:rtl/>
        </w:rPr>
        <w:t>إعادة</w:t>
      </w:r>
      <w:r w:rsidRPr="00AD18A8">
        <w:rPr>
          <w:rFonts w:asciiTheme="minorBidi" w:hAnsiTheme="minorBidi" w:cstheme="minorBidi" w:hint="cs"/>
          <w:b w:val="0"/>
          <w:bCs w:val="0"/>
          <w:sz w:val="32"/>
          <w:szCs w:val="32"/>
          <w:rtl/>
        </w:rPr>
        <w:t xml:space="preserve"> تنظيم النيابة </w:t>
      </w:r>
      <w:r w:rsidR="005A39F7" w:rsidRPr="00AD18A8">
        <w:rPr>
          <w:rFonts w:asciiTheme="minorBidi" w:hAnsiTheme="minorBidi" w:cstheme="minorBidi" w:hint="cs"/>
          <w:b w:val="0"/>
          <w:bCs w:val="0"/>
          <w:sz w:val="32"/>
          <w:szCs w:val="32"/>
          <w:rtl/>
        </w:rPr>
        <w:t>الإدارية</w:t>
      </w:r>
      <w:r w:rsidRPr="00AD18A8">
        <w:rPr>
          <w:rFonts w:asciiTheme="minorBidi" w:hAnsiTheme="minorBidi" w:cstheme="minorBidi" w:hint="cs"/>
          <w:b w:val="0"/>
          <w:bCs w:val="0"/>
          <w:sz w:val="32"/>
          <w:szCs w:val="32"/>
          <w:rtl/>
        </w:rPr>
        <w:t xml:space="preserve"> والمحاكمات التأديبية وتعديلاته، وبالمادتين رقمي 15/أولا، 19، 20، 21 من قانون مجلس الدولة الصادر بالقانون رقم 74 لسنة 1972 وتعديلاته. </w:t>
      </w:r>
    </w:p>
    <w:p w:rsidR="00AD18A8" w:rsidRPr="00AD18A8" w:rsidRDefault="00AD18A8" w:rsidP="005A39F7">
      <w:pPr>
        <w:pStyle w:val="1"/>
        <w:spacing w:after="240"/>
        <w:ind w:left="170" w:right="227" w:firstLine="373"/>
        <w:jc w:val="both"/>
        <w:rPr>
          <w:rFonts w:asciiTheme="minorBidi" w:hAnsiTheme="minorBidi" w:cstheme="minorBidi"/>
          <w:b w:val="0"/>
          <w:bCs w:val="0"/>
          <w:sz w:val="32"/>
          <w:szCs w:val="32"/>
          <w:rtl/>
        </w:rPr>
      </w:pPr>
      <w:r w:rsidRPr="00AD18A8">
        <w:rPr>
          <w:rFonts w:asciiTheme="minorBidi" w:hAnsiTheme="minorBidi" w:cstheme="minorBidi" w:hint="cs"/>
          <w:b w:val="0"/>
          <w:bCs w:val="0"/>
          <w:sz w:val="32"/>
          <w:szCs w:val="32"/>
          <w:rtl/>
        </w:rPr>
        <w:t>وتدوول نظر الدعوى أمام المحكمة التأديبية لوزارة الصحة وملحقاتها على النحو الموضح بمحاضر جلساتها، وبجلسة 11/10/2020 قدم الحاضر عن المحال الرابع حافظتي مستندات طويتا على المدون بغلافيهما ومذكرة دفاع انتهى فيها إلى طلب الحكم ببراءته مما نسب إليه، وبجلسة 3/1/2021 قدم الحاضر عن المحال الثالث حافظة مستندات طويت على المدون بغلافها، كما قدم الحاضر عن المحال الرابع حافظة مستندات طويت على المدون بغلافها .</w:t>
      </w:r>
    </w:p>
    <w:p w:rsidR="00AD18A8" w:rsidRPr="00AD18A8" w:rsidRDefault="00AD18A8" w:rsidP="005A39F7">
      <w:pPr>
        <w:pStyle w:val="1"/>
        <w:spacing w:after="240"/>
        <w:ind w:left="170" w:right="227" w:firstLine="373"/>
        <w:jc w:val="both"/>
        <w:rPr>
          <w:rFonts w:asciiTheme="minorBidi" w:hAnsiTheme="minorBidi" w:cstheme="minorBidi"/>
          <w:b w:val="0"/>
          <w:bCs w:val="0"/>
          <w:sz w:val="32"/>
          <w:szCs w:val="32"/>
          <w:rtl/>
        </w:rPr>
      </w:pPr>
      <w:r w:rsidRPr="00AD18A8">
        <w:rPr>
          <w:rFonts w:asciiTheme="minorBidi" w:hAnsiTheme="minorBidi" w:cstheme="minorBidi" w:hint="cs"/>
          <w:b w:val="0"/>
          <w:bCs w:val="0"/>
          <w:sz w:val="32"/>
          <w:szCs w:val="32"/>
          <w:rtl/>
        </w:rPr>
        <w:t>وبجلسة 24/1/2021 حكمت المحكمة بعدم اختصاصها نوعيا بنظر الدعوى، وإحالتها بحالتها إلى المحكمة التأديبية لمستوى الإدارة العليا للاختصاص.</w:t>
      </w:r>
    </w:p>
    <w:p w:rsidR="00AD18A8" w:rsidRPr="00AD18A8" w:rsidRDefault="00AD18A8" w:rsidP="005A39F7">
      <w:pPr>
        <w:pStyle w:val="aa"/>
        <w:spacing w:after="240"/>
        <w:ind w:left="170" w:right="227" w:firstLine="373"/>
        <w:jc w:val="both"/>
        <w:rPr>
          <w:rFonts w:asciiTheme="minorBidi" w:hAnsiTheme="minorBidi" w:cstheme="minorBidi"/>
          <w:sz w:val="32"/>
          <w:szCs w:val="32"/>
          <w:rtl/>
        </w:rPr>
      </w:pPr>
      <w:r w:rsidRPr="00AD18A8">
        <w:rPr>
          <w:rFonts w:asciiTheme="minorBidi" w:hAnsiTheme="minorBidi" w:cstheme="minorBidi" w:hint="cs"/>
          <w:sz w:val="32"/>
          <w:szCs w:val="32"/>
          <w:rtl/>
        </w:rPr>
        <w:t xml:space="preserve">وتنفيذا لذلك </w:t>
      </w:r>
      <w:r w:rsidR="005A39F7" w:rsidRPr="00AD18A8">
        <w:rPr>
          <w:rFonts w:asciiTheme="minorBidi" w:hAnsiTheme="minorBidi" w:cstheme="minorBidi" w:hint="cs"/>
          <w:sz w:val="32"/>
          <w:szCs w:val="32"/>
          <w:rtl/>
        </w:rPr>
        <w:t>أحيلت</w:t>
      </w:r>
      <w:r w:rsidRPr="00AD18A8">
        <w:rPr>
          <w:rFonts w:asciiTheme="minorBidi" w:hAnsiTheme="minorBidi" w:cstheme="minorBidi" w:hint="cs"/>
          <w:sz w:val="32"/>
          <w:szCs w:val="32"/>
          <w:rtl/>
        </w:rPr>
        <w:t xml:space="preserve"> الدعوى إلى هذه المحكمة، وقيدت بجدولها العام تحت الرقم المدون بصدر هذا الحكم.</w:t>
      </w:r>
    </w:p>
    <w:p w:rsidR="00AD18A8" w:rsidRPr="00AD18A8" w:rsidRDefault="00AD18A8" w:rsidP="005A39F7">
      <w:pPr>
        <w:pStyle w:val="aa"/>
        <w:spacing w:after="240"/>
        <w:ind w:left="170" w:right="227" w:firstLine="373"/>
        <w:jc w:val="both"/>
        <w:rPr>
          <w:rFonts w:asciiTheme="minorBidi" w:hAnsiTheme="minorBidi" w:cstheme="minorBidi"/>
          <w:sz w:val="32"/>
          <w:szCs w:val="32"/>
          <w:rtl/>
        </w:rPr>
      </w:pPr>
      <w:r w:rsidRPr="00AD18A8">
        <w:rPr>
          <w:rFonts w:asciiTheme="minorBidi" w:hAnsiTheme="minorBidi" w:cstheme="minorBidi" w:hint="cs"/>
          <w:sz w:val="32"/>
          <w:szCs w:val="32"/>
          <w:rtl/>
        </w:rPr>
        <w:t>وتحددت لنظر الدعوى أمام المحكمة جلسة 2/6/2021 وجرى تداولها على النحو المبين بمحاضر جلساتها، وبجلسة 28/7/2021 قدم الحاضر عن المحال الثالث سبع حوافظ مستندات طويت على المدون بأغلفتها ومذكرة دفاع انتهى فيها إلى طلب الحكم ببراءته مما نسب إليه، وبجلسة 4/8/2021 قدم الحاضر عن المحالين الأول والثاني خمس حوافظ مستندات طويت على المدون بأغلفتها ومذكرة دفاع انتهى فيها إلى طلب الحكم ببراءتهما مما نسب إليهما، وبجلسة 27/10/2021 قدم الحاضر عن المحال الرابع حافظة مستندات طويت على المدون بغلافها ومذكرة دفاع انتهى فيها إلى طلب الحكم ببراءته مما نسب إليه، وبذات الجلسة قررت المحكمة حجز الدعوى للحكم لجلسة اليوم، وبها صدر الحكم وأودعت مسودته متضمنة أسبابه عند النطق به.</w:t>
      </w:r>
    </w:p>
    <w:p w:rsidR="00AD18A8" w:rsidRPr="00AD18A8" w:rsidRDefault="00AD18A8" w:rsidP="005A39F7">
      <w:pPr>
        <w:bidi/>
        <w:spacing w:after="240"/>
        <w:ind w:left="170" w:right="227" w:firstLine="373"/>
        <w:jc w:val="center"/>
        <w:rPr>
          <w:rFonts w:asciiTheme="minorBidi" w:hAnsiTheme="minorBidi" w:cstheme="minorBidi"/>
          <w:b/>
          <w:bCs/>
          <w:sz w:val="32"/>
          <w:szCs w:val="32"/>
          <w:u w:val="single"/>
          <w:rtl/>
          <w:lang w:bidi="ar-EG"/>
        </w:rPr>
      </w:pPr>
      <w:r w:rsidRPr="00AD18A8">
        <w:rPr>
          <w:rFonts w:asciiTheme="minorBidi" w:hAnsiTheme="minorBidi" w:cstheme="minorBidi"/>
          <w:b/>
          <w:bCs/>
          <w:sz w:val="32"/>
          <w:szCs w:val="32"/>
          <w:u w:val="single"/>
          <w:rtl/>
          <w:lang w:bidi="ar-EG"/>
        </w:rPr>
        <w:t>المحكمـــة</w:t>
      </w:r>
    </w:p>
    <w:p w:rsidR="00AD18A8" w:rsidRDefault="00AD18A8" w:rsidP="005A39F7">
      <w:pPr>
        <w:bidi/>
        <w:spacing w:after="240"/>
        <w:ind w:right="-180" w:firstLine="373"/>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 xml:space="preserve">بعد الاطلاع على الأوراق، وسماع الإيضاحات، والمداولة قانوناً .    </w:t>
      </w:r>
    </w:p>
    <w:p w:rsidR="00AD18A8" w:rsidRPr="00AD18A8" w:rsidRDefault="00AD18A8" w:rsidP="005A39F7">
      <w:pPr>
        <w:pStyle w:val="aa"/>
        <w:spacing w:after="240"/>
        <w:ind w:left="170" w:right="227" w:firstLine="373"/>
        <w:jc w:val="both"/>
        <w:rPr>
          <w:rFonts w:asciiTheme="minorBidi" w:hAnsiTheme="minorBidi" w:cstheme="minorBidi"/>
          <w:sz w:val="32"/>
          <w:szCs w:val="32"/>
          <w:rtl/>
          <w:lang w:bidi="ar-EG"/>
        </w:rPr>
      </w:pPr>
      <w:r w:rsidRPr="00AD18A8">
        <w:rPr>
          <w:rFonts w:asciiTheme="minorBidi" w:hAnsiTheme="minorBidi" w:cstheme="minorBidi" w:hint="cs"/>
          <w:sz w:val="32"/>
          <w:szCs w:val="32"/>
          <w:rtl/>
        </w:rPr>
        <w:t xml:space="preserve">ومن حيث إن النيابة الإدارية تطلب محاكمة المحالين تأديبيا عما نسب إليهم من مخالفات طبقاً للقيد والوصف ومواد القانون الواردة تفصيلاً بتقرير الاتهام.    </w:t>
      </w:r>
    </w:p>
    <w:p w:rsidR="00AD18A8" w:rsidRDefault="00AD18A8" w:rsidP="005A39F7">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الدعوى قد استوفت سائر أوضاعها الشكلية المقررة قانونا بحسبانها دعوى تأديبية، فإنها تكون مقبولة شكلا.</w:t>
      </w:r>
    </w:p>
    <w:p w:rsidR="00AD18A8" w:rsidRDefault="00AD18A8" w:rsidP="005A39F7">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lastRenderedPageBreak/>
        <w:t xml:space="preserve">ومن حيث إن وقائع الدعوى الماثلة تتلخص – وفقا للثابت من الأوراق -  فيما جاء ببلاغ السيد/ رئيس الإدارة المركزية للتفتيش المالي بوزارة المالية المؤرخ 7/12/2015 فيما ورد بمذكرة قطاع الحسابات والمديريات المالية بالوزارة المؤرخة 23/10/2014 بشأن المبالغ المنصرفة لممثلي وزارة المالية بالهيئة العامة لمشروعات التعمير والتنمية الزراعية كبدل حضور جلسات ولجان بالمخالفة لقرار وزير المالية رقم 92 لسنة 2012 . </w:t>
      </w:r>
    </w:p>
    <w:p w:rsidR="00AD18A8" w:rsidRDefault="00AD18A8" w:rsidP="005A39F7">
      <w:pPr>
        <w:pStyle w:val="1"/>
        <w:spacing w:after="240"/>
        <w:ind w:left="170" w:right="227" w:firstLine="373"/>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إثبات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 ( المحكمة الإدارية العليا في الطعن رقم 25926 لسنة 57 ق . ع – بجلسة 2/7/2018، وحكمها في الطعن رقم 27290 لسنة 60 ق . ع - بجلسة 17/3/2018 )</w:t>
      </w:r>
    </w:p>
    <w:p w:rsidR="00AD18A8" w:rsidRDefault="00AD18A8" w:rsidP="005A39F7">
      <w:pPr>
        <w:pStyle w:val="1"/>
        <w:spacing w:after="240"/>
        <w:ind w:left="170" w:right="227" w:firstLine="373"/>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2/9/2018 ).</w:t>
      </w:r>
    </w:p>
    <w:p w:rsidR="00AD18A8" w:rsidRDefault="00AD18A8" w:rsidP="005A39F7">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الثابت من الأوراق أن وزارة الزراعة أرسلت لوزير المالية الكتاب رقم 676 المؤرخ 15/6/2011 متضمنا طلب ترشيح ممثلين عن وزارة المالية ( قطاع الحسابات الختامية ) للمشاركة مع الجهاز المركزي للمحاسبات في أعمال اللجنة المزمع تشكيلها لتحويل أرصدة موازنة الهيئة العامة لتنمية بحيرة السد العالي بما فيها المسطح المائي للبحيرة المندمجة في الهيئة العامة لمشروعات التعمير والتنمية الزراعية وفقا للنظام المحاسبي الموحد بالإضافة إلى قيام اللجنة المذكورة بإعداد مجموعة دفترية ودورة مستندية تتفق مع النظام المحاسبي الموحد والمعايير المحاسبية، وبناء علي ذلك أرسل وزير المالية الكتاب رقم 1575 المؤرخ 3/8/2011 بترشيح السيد/ أكرم محفوظ غالي – المحال الرابع – وآخرين، وبتاريخ 2/1/2012 أصدر المدير التنفيذي للهيئة العامة لمشروعات التعمير والتنمية الزراعية القرار رقم 12 لسنة 2012 بتشكيل لجنة لإعادة تقييم أصول الهيئة بأسوان ( تنمية بحيرة السد العالي ) على أن تضم في عضويتها ممثلي وزارة المالية، وبتاريخ 26/4/2012 أصدر رئيس قطاع فرع الهيئة المذكورة القرار رقم 125 لسنة 2012 بإضافة كل من السيد / عادل جرجس متى – المحال الأول -، والسيد/ سامح عمر عبدالستار – المحال الثاني </w:t>
      </w:r>
      <w:r>
        <w:rPr>
          <w:rFonts w:asciiTheme="minorBidi" w:hAnsiTheme="minorBidi" w:cstheme="minorBidi" w:hint="cs"/>
          <w:b w:val="0"/>
          <w:bCs w:val="0"/>
          <w:sz w:val="32"/>
          <w:szCs w:val="32"/>
          <w:rtl/>
        </w:rPr>
        <w:lastRenderedPageBreak/>
        <w:t>– إلى لجنة إعادة تقييم أصول فرع الهيئة، وبتاريخ 23/10/2014 حرر قطاع الحسابات والمديريات المالية بوزارة المالية مذكرة تضمنت قيام ممثلي وزارة المالية بالهيئة العامة لمشروعات التعمير والتنمية الزراعية بتقاضي مبالغ مالية نظير حضورهم لجان تقييم أصول فرع الهيئة بأسوان ( تنمية بحيرة السد العالي ) بزعم مخالفتهم لقرار وزير المالية رقم 92 لسنة 2012، وتضمنت المذكرة حصرا بالمبالغ التي تقاضاها ممثلي وزارة المالية نظير حضورهم جلسات تلك اللجان وبيانها كالتالي : (1) حصول كل من المحالين الأول والثاني على مبلغ مقداره 1000 جنيه لكل منهما من لجنة تقييم الأصول عن المدة 2012/2013، (2) حصول المحال الثالث على مبلغ مقداره 11000 جنيه من اللجنة القانونية عن الفترة من 1/2013 حتى 33/2014، ومبلغ مقداره 6650 جنيه من لجنة تثمين الأراضي عن الفترة من 2/2013 حتى 2/2014، وعلى إثر ذلك تم عرض الموضوع على المستشار القانوني لوزير المالية والذي انتهى في مذكرته إلى التوصية بالموافقة على إحالة هذه المخالفات إلى النيابة الإدارية للتحقيق فيها، وأشر وزير المالية بالموافقة في 1/7/2015.</w:t>
      </w:r>
    </w:p>
    <w:p w:rsidR="00AD18A8" w:rsidRPr="00AD18A8" w:rsidRDefault="00AD18A8" w:rsidP="005A39F7">
      <w:pPr>
        <w:pStyle w:val="aa"/>
        <w:spacing w:after="240"/>
        <w:ind w:left="170" w:right="227" w:firstLine="373"/>
        <w:rPr>
          <w:rFonts w:asciiTheme="minorBidi" w:hAnsiTheme="minorBidi" w:cstheme="minorBidi"/>
          <w:sz w:val="32"/>
          <w:szCs w:val="32"/>
          <w:rtl/>
        </w:rPr>
      </w:pPr>
      <w:r w:rsidRPr="00AD18A8">
        <w:rPr>
          <w:rFonts w:asciiTheme="minorBidi" w:hAnsiTheme="minorBidi" w:cstheme="minorBidi" w:hint="cs"/>
          <w:sz w:val="32"/>
          <w:szCs w:val="32"/>
          <w:rtl/>
        </w:rPr>
        <w:t>ومن حيث إنه عن المخالفة المنسوبة إلى المحالين وتتمثل في تقاضيهم مبالغ مالية نظير حضور جلسات لجان نقل الأصول وتقييم الأصول والمتأخرات بالمخالفة لقرارات وزير المالية رقم 199 لسنة 1992، 92 لسنة 2012.</w:t>
      </w:r>
    </w:p>
    <w:p w:rsidR="00AD18A8" w:rsidRDefault="00AD18A8" w:rsidP="005A39F7">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وبسؤال المحال الأول/ عادل جرجس متى، أفاد بأن ما حصل عليه من مكافآت ومقدارها 1000 جنيه نظير حضور جلسات لجنة تقييم الأصول بهيئة تنمية بحيرة السد العالي كان استنادا إلى قرار المدير التنفيذي لمشروعات التعمير والتنمية الزراعية رقم 12 لسنة 2012، وكذا القرار الجمهوري رقم 71 لسنة 1965 والذي يجيز منح مكافآت لأعضاء اللجان التي يصدر بتشكيلها القرارات </w:t>
      </w:r>
      <w:r w:rsidR="005A39F7">
        <w:rPr>
          <w:rFonts w:asciiTheme="minorBidi" w:hAnsiTheme="minorBidi" w:cstheme="minorBidi"/>
          <w:b w:val="0"/>
          <w:bCs w:val="0"/>
          <w:sz w:val="32"/>
          <w:szCs w:val="32"/>
          <w:rtl/>
        </w:rPr>
        <w:br/>
      </w:r>
      <w:r>
        <w:rPr>
          <w:rFonts w:asciiTheme="minorBidi" w:hAnsiTheme="minorBidi" w:cstheme="minorBidi" w:hint="cs"/>
          <w:b w:val="0"/>
          <w:bCs w:val="0"/>
          <w:sz w:val="32"/>
          <w:szCs w:val="32"/>
          <w:rtl/>
        </w:rPr>
        <w:t xml:space="preserve">المالية . </w:t>
      </w:r>
    </w:p>
    <w:p w:rsidR="00AD18A8" w:rsidRDefault="00AD18A8" w:rsidP="005A39F7">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وبسؤال المحال الثاني / سامح عمر عبدالستار عمر، أفاد بأن حصوله على مبلغ مقداره 1000 جنيه نظير حضوره جلسات لجنة تقييم الأصول بهيئة تنمية بحيرة السد العالي كان استنادا إلى القرار رقم 12 لسنة 2012 والصادر بتاريخ 2/1/2012، وأن القرار المذكور صادر في تاريخ سابق على تاريخ صدور قرار وزير المالية رقم 92 لسنة 2012 الذي يحظر على ممثلي وزارة المالية تقاضي أية مبالغ مالية، وأن الإدارة المركزية للتشريع المالي بوزارة المالية قد أفتت بأن المبالغ التي يحظر على ممثلي وزارة المالية تقاضيها هي المبالغ التي تترخص فيها الجهات المعنية سلطة تقديرية، أما المبالغ والمزايا المقررة بموجب القرارات الوزارية لا يشمها الحظر الوارد بالقرار رقم 92 لسنة 2012 .</w:t>
      </w:r>
    </w:p>
    <w:p w:rsidR="00AD18A8" w:rsidRDefault="00AD18A8" w:rsidP="005A39F7">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وبسؤال المحال الثالث / رجب إبراهيم عبدالحميد، أفاد أنه بمناسبة صدور قرار رئيس مجلس الوزراء رقم 2041 لسنة 2006 بشأن تقنيين الأوضاع على الأراضي والعقارات المملوكة للدولة، تم تشكيل لجنة للبت في الطلبات المقدمة من واضعي اليد على أن تضم في عضويتها ممثل عن وزارة المالية، ثم أعقب ذلك صدور قرار وزير الزراعة رقم 733 لسنة 2011 بتشكيل لجنة البت في طلبات واضعي اليد، ونظرا لكون الاشتراك في عضوية لجنة البت وكذلك صرف المقابل المالي عن الحضور في هذه اللجنة مرهون بموافقة وزير المالية، فقد تقدم بمذكرة إلى المذكور، وبتاريخ 25/11/2012 أشر وزير المالية بالموافقة على حضوره بلجنة البت في طلبات واضعي اليد وأن يتقاضى ما يتقاضاه أعضاء تلك اللجنة .</w:t>
      </w:r>
    </w:p>
    <w:p w:rsidR="00AD18A8" w:rsidRDefault="00AD18A8" w:rsidP="005A39F7">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lastRenderedPageBreak/>
        <w:t>وبسؤال المحال الرابع / أكرم محفوظ غالي، أفاد بأنه كان يتقاضى مبالغ مالية نظير حضوره جلسات لجنة تقييم الأصول بهيئة تنمية بحيرة السد العالي، وأن ذلك مرجعه موافقة وزير الزراعة على صرف تلك المبالغ .</w:t>
      </w:r>
    </w:p>
    <w:p w:rsidR="00AD18A8" w:rsidRDefault="00AD18A8" w:rsidP="005A39F7">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المادة الأولى من قرار وزير المالية رقم 199 لسنة 1992 تنص على أنه "يحظر حظراً تاماً على العاملين بقطاعات الحسابات والمديريات المالية والحسابات الختامية والموازنة والتمويل وعلى ممثلي وزارة المالية من هذه القطاعات لدى وحدات الجهاز الإداري للدولة ووحدات الإدارة المحلية والهيئات الخدمية والهيئات الاقتصادية وصناديق التمويل أو الحسابات الخاصة وشركات القطاع العام وشركات قطاع الأعمال العام وغيرها من الجهات التي يوجد بها تمثيل لوزارة المالية، تقاضي أية مبالغ من هذه الجهات كمكافأة تشجيعية أو تعويض عن جهود غير عادية أو حوافز أو أية مبالغ نقدية أو مزايا عينية تحت أي مسمى . يلزم كل مخالف برد المبالغ التي يحصل عليها بالمخالفة لأحكام هذا الحظر، ذلك دون الإخلال بالمسئولية التأديبية".</w:t>
      </w:r>
    </w:p>
    <w:p w:rsidR="00AD18A8" w:rsidRDefault="00AD18A8" w:rsidP="005A39F7">
      <w:pPr>
        <w:pStyle w:val="1"/>
        <w:spacing w:after="240"/>
        <w:ind w:left="170" w:right="227" w:firstLine="373"/>
        <w:jc w:val="both"/>
        <w:rPr>
          <w:rStyle w:val="labelstyle"/>
          <w:rFonts w:eastAsia="Arial Unicode MS"/>
          <w:rtl/>
        </w:rPr>
      </w:pPr>
      <w:r>
        <w:rPr>
          <w:rFonts w:asciiTheme="minorBidi" w:hAnsiTheme="minorBidi" w:cstheme="minorBidi" w:hint="cs"/>
          <w:b w:val="0"/>
          <w:bCs w:val="0"/>
          <w:sz w:val="32"/>
          <w:szCs w:val="32"/>
          <w:rtl/>
        </w:rPr>
        <w:t xml:space="preserve">ومن حيث إن المادة الأولى من قرار وزير المالية رقم 92 لسنة 2012 تنص على أنه " </w:t>
      </w:r>
      <w:r>
        <w:rPr>
          <w:rStyle w:val="labelstyle"/>
          <w:rFonts w:asciiTheme="minorBidi" w:eastAsia="Arial Unicode MS" w:hAnsiTheme="minorBidi" w:cstheme="minorBidi" w:hint="cs"/>
          <w:b w:val="0"/>
          <w:bCs w:val="0"/>
          <w:sz w:val="32"/>
          <w:szCs w:val="32"/>
          <w:rtl/>
        </w:rPr>
        <w:t>يُحظر حظرًا تامًا على العاملين بقطاعات الحسابات والمديريات المالية والحسابات الختامية والموازنة والتمويل وقطاع مكتب الوزير وعلى ممثلي وزارة المالية من هذه القطاعات لدى وحدات الجهاز الإداري للدولة ووحدات الإدارة المحلية والهيئات الخدمية والهيئات الاقتصادية وصناديق التمويل أو الحسابات الخاصة وغيرها من الجهات التي يوجد بها تمثيل لوزارة المالية, تقاضي أية مبالغ من هذه الجهات كمكافأة تشجيعية أو تعويض عن جهود غير عادية أو حوافز أو أية مبالغ نقدية أو مزايا عينية تحت أي مسمى .ويلتزم كل من يخالف ذلك برد المبالغ التي يحصل عليها بالمخالفة لأحكام هذا القرار, وذلك دون الإخلال بالمسئولية التأديبية</w:t>
      </w:r>
      <w:r>
        <w:rPr>
          <w:rStyle w:val="labelstyle"/>
          <w:rFonts w:asciiTheme="minorBidi" w:eastAsia="Arial Unicode MS" w:hAnsiTheme="minorBidi" w:cstheme="minorBidi"/>
          <w:b w:val="0"/>
          <w:bCs w:val="0"/>
          <w:sz w:val="32"/>
          <w:szCs w:val="32"/>
        </w:rPr>
        <w:t>"</w:t>
      </w:r>
      <w:r>
        <w:rPr>
          <w:rStyle w:val="labelstyle"/>
          <w:rFonts w:asciiTheme="minorBidi" w:eastAsia="Arial Unicode MS" w:hAnsiTheme="minorBidi" w:cstheme="minorBidi" w:hint="cs"/>
          <w:b w:val="0"/>
          <w:bCs w:val="0"/>
          <w:sz w:val="32"/>
          <w:szCs w:val="32"/>
          <w:rtl/>
        </w:rPr>
        <w:t>.</w:t>
      </w:r>
    </w:p>
    <w:p w:rsidR="00AD18A8" w:rsidRDefault="00AD18A8" w:rsidP="005A39F7">
      <w:pPr>
        <w:bidi/>
        <w:spacing w:after="240"/>
        <w:ind w:left="170" w:right="227" w:firstLine="373"/>
        <w:jc w:val="both"/>
        <w:rPr>
          <w:rtl/>
        </w:rPr>
      </w:pPr>
      <w:r>
        <w:rPr>
          <w:rStyle w:val="labelstyle"/>
          <w:rFonts w:asciiTheme="minorBidi" w:eastAsia="Arial Unicode MS" w:hAnsiTheme="minorBidi" w:cstheme="minorBidi"/>
          <w:sz w:val="32"/>
          <w:szCs w:val="32"/>
          <w:rtl/>
        </w:rPr>
        <w:t xml:space="preserve">ومن حيث إنه فى شأن تفسير قرارى وزير المالية المشار إليهما، </w:t>
      </w:r>
      <w:r>
        <w:rPr>
          <w:rStyle w:val="labelstyle"/>
          <w:rFonts w:asciiTheme="minorBidi" w:eastAsia="Arial Unicode MS" w:hAnsiTheme="minorBidi" w:cstheme="minorBidi" w:hint="cs"/>
          <w:sz w:val="32"/>
          <w:szCs w:val="32"/>
          <w:rtl/>
        </w:rPr>
        <w:t>انتهت</w:t>
      </w:r>
      <w:r>
        <w:rPr>
          <w:rStyle w:val="labelstyle"/>
          <w:rFonts w:asciiTheme="minorBidi" w:eastAsia="Arial Unicode MS" w:hAnsiTheme="minorBidi" w:cstheme="minorBidi"/>
          <w:sz w:val="32"/>
          <w:szCs w:val="32"/>
          <w:rtl/>
        </w:rPr>
        <w:t xml:space="preserve"> </w:t>
      </w:r>
      <w:r>
        <w:rPr>
          <w:rFonts w:asciiTheme="minorBidi" w:hAnsiTheme="minorBidi" w:cstheme="minorBidi"/>
          <w:sz w:val="32"/>
          <w:szCs w:val="32"/>
          <w:rtl/>
          <w:lang w:bidi="ar-EG"/>
        </w:rPr>
        <w:t xml:space="preserve">الإدارة المركزية للتشريع المالي بوزارة المالية في كتابها </w:t>
      </w:r>
      <w:r>
        <w:rPr>
          <w:rFonts w:asciiTheme="minorBidi" w:hAnsiTheme="minorBidi" w:cstheme="minorBidi"/>
          <w:sz w:val="32"/>
          <w:szCs w:val="32"/>
          <w:rtl/>
        </w:rPr>
        <w:t xml:space="preserve">رقم 1604 المؤرخ 25/11/2013، وكتابها رقم 936 المؤرخ 11/8/2014، وكتابها </w:t>
      </w:r>
      <w:r>
        <w:rPr>
          <w:rFonts w:asciiTheme="minorBidi" w:hAnsiTheme="minorBidi" w:cstheme="minorBidi"/>
          <w:sz w:val="32"/>
          <w:szCs w:val="32"/>
          <w:rtl/>
          <w:lang w:bidi="ar-EG"/>
        </w:rPr>
        <w:t xml:space="preserve">رقم </w:t>
      </w:r>
      <w:r>
        <w:rPr>
          <w:rFonts w:asciiTheme="minorBidi" w:hAnsiTheme="minorBidi" w:cstheme="minorBidi"/>
          <w:sz w:val="32"/>
          <w:szCs w:val="32"/>
          <w:rtl/>
        </w:rPr>
        <w:t>83</w:t>
      </w:r>
      <w:r>
        <w:rPr>
          <w:rFonts w:asciiTheme="minorBidi" w:hAnsiTheme="minorBidi" w:cstheme="minorBidi"/>
          <w:sz w:val="32"/>
          <w:szCs w:val="32"/>
          <w:rtl/>
          <w:lang w:bidi="ar-EG"/>
        </w:rPr>
        <w:t xml:space="preserve"> المؤرخ </w:t>
      </w:r>
      <w:r>
        <w:rPr>
          <w:rFonts w:asciiTheme="minorBidi" w:hAnsiTheme="minorBidi" w:cstheme="minorBidi"/>
          <w:sz w:val="32"/>
          <w:szCs w:val="32"/>
          <w:rtl/>
        </w:rPr>
        <w:t>15</w:t>
      </w:r>
      <w:r>
        <w:rPr>
          <w:rFonts w:asciiTheme="minorBidi" w:hAnsiTheme="minorBidi" w:cstheme="minorBidi"/>
          <w:sz w:val="32"/>
          <w:szCs w:val="32"/>
          <w:rtl/>
          <w:lang w:bidi="ar-EG"/>
        </w:rPr>
        <w:t>/1/</w:t>
      </w:r>
      <w:r>
        <w:rPr>
          <w:rFonts w:asciiTheme="minorBidi" w:hAnsiTheme="minorBidi" w:cstheme="minorBidi"/>
          <w:sz w:val="32"/>
          <w:szCs w:val="32"/>
          <w:rtl/>
        </w:rPr>
        <w:t>2015</w:t>
      </w:r>
      <w:r>
        <w:rPr>
          <w:rFonts w:asciiTheme="minorBidi" w:hAnsiTheme="minorBidi" w:cstheme="minorBidi"/>
          <w:sz w:val="32"/>
          <w:szCs w:val="32"/>
          <w:rtl/>
          <w:lang w:bidi="ar-EG"/>
        </w:rPr>
        <w:t xml:space="preserve"> إلى أحقية ممثلي وزارة المالية في </w:t>
      </w:r>
      <w:r>
        <w:rPr>
          <w:rFonts w:asciiTheme="minorBidi" w:hAnsiTheme="minorBidi" w:cstheme="minorBidi"/>
          <w:sz w:val="32"/>
          <w:szCs w:val="32"/>
          <w:rtl/>
        </w:rPr>
        <w:t>صرف بدل حضور جلسات اللجان طالما لا تدخل أعمالها في نطاق أعمال الرقابة بالجهة الإدارية المنتدبين إليها.</w:t>
      </w:r>
    </w:p>
    <w:p w:rsidR="00AD18A8" w:rsidRDefault="00AD18A8" w:rsidP="005A39F7">
      <w:pPr>
        <w:bidi/>
        <w:spacing w:after="240"/>
        <w:ind w:left="170" w:right="227" w:firstLine="373"/>
        <w:jc w:val="both"/>
        <w:rPr>
          <w:rFonts w:asciiTheme="minorBidi" w:hAnsiTheme="minorBidi" w:cstheme="minorBidi"/>
          <w:sz w:val="32"/>
          <w:szCs w:val="32"/>
          <w:rtl/>
        </w:rPr>
      </w:pPr>
      <w:r>
        <w:rPr>
          <w:rFonts w:asciiTheme="minorBidi" w:hAnsiTheme="minorBidi" w:cstheme="minorBidi"/>
          <w:sz w:val="32"/>
          <w:szCs w:val="32"/>
          <w:rtl/>
        </w:rPr>
        <w:t>وترتيبا على ما تقدم</w:t>
      </w:r>
      <w:r>
        <w:rPr>
          <w:rFonts w:asciiTheme="minorBidi" w:hAnsiTheme="minorBidi" w:cstheme="minorBidi"/>
          <w:sz w:val="32"/>
          <w:szCs w:val="32"/>
          <w:rtl/>
          <w:lang w:bidi="ar-EG"/>
        </w:rPr>
        <w:t xml:space="preserve">، </w:t>
      </w:r>
      <w:r>
        <w:rPr>
          <w:rFonts w:asciiTheme="minorBidi" w:hAnsiTheme="minorBidi" w:cstheme="minorBidi"/>
          <w:sz w:val="32"/>
          <w:szCs w:val="32"/>
          <w:rtl/>
        </w:rPr>
        <w:t xml:space="preserve">فإن اشتراك المحالين </w:t>
      </w:r>
      <w:r>
        <w:rPr>
          <w:rFonts w:asciiTheme="minorBidi" w:hAnsiTheme="minorBidi" w:cstheme="minorBidi"/>
          <w:sz w:val="32"/>
          <w:szCs w:val="32"/>
          <w:rtl/>
          <w:lang w:bidi="ar-EG"/>
        </w:rPr>
        <w:t>–</w:t>
      </w:r>
      <w:r>
        <w:rPr>
          <w:rFonts w:asciiTheme="minorBidi" w:hAnsiTheme="minorBidi" w:cstheme="minorBidi"/>
          <w:sz w:val="32"/>
          <w:szCs w:val="32"/>
          <w:rtl/>
        </w:rPr>
        <w:t xml:space="preserve"> فيما عدا المحال الثالث </w:t>
      </w:r>
      <w:r>
        <w:rPr>
          <w:rFonts w:asciiTheme="minorBidi" w:hAnsiTheme="minorBidi" w:cstheme="minorBidi"/>
          <w:sz w:val="32"/>
          <w:szCs w:val="32"/>
          <w:rtl/>
          <w:lang w:bidi="ar-EG"/>
        </w:rPr>
        <w:t>–</w:t>
      </w:r>
      <w:r>
        <w:rPr>
          <w:rFonts w:asciiTheme="minorBidi" w:hAnsiTheme="minorBidi" w:cstheme="minorBidi"/>
          <w:sz w:val="32"/>
          <w:szCs w:val="32"/>
          <w:rtl/>
        </w:rPr>
        <w:t xml:space="preserve"> في عضوية لجنة إعادة تقييم أصول هيئة تنمية بحيرة السد العالي بأسوان، وتقاضيهم المقابل المالي نظير حضورهم جلسات هذه اللجنة </w:t>
      </w:r>
      <w:r>
        <w:rPr>
          <w:rFonts w:asciiTheme="minorBidi" w:hAnsiTheme="minorBidi" w:cstheme="minorBidi"/>
          <w:sz w:val="32"/>
          <w:szCs w:val="32"/>
          <w:rtl/>
          <w:lang w:bidi="ar-EG"/>
        </w:rPr>
        <w:t xml:space="preserve">لا يدخل في </w:t>
      </w:r>
      <w:r>
        <w:rPr>
          <w:rFonts w:asciiTheme="minorBidi" w:hAnsiTheme="minorBidi" w:cstheme="minorBidi"/>
          <w:sz w:val="32"/>
          <w:szCs w:val="32"/>
          <w:rtl/>
        </w:rPr>
        <w:t xml:space="preserve">نطاق </w:t>
      </w:r>
      <w:r>
        <w:rPr>
          <w:rFonts w:asciiTheme="minorBidi" w:hAnsiTheme="minorBidi" w:cstheme="minorBidi"/>
          <w:sz w:val="32"/>
          <w:szCs w:val="32"/>
          <w:rtl/>
          <w:lang w:bidi="ar-EG"/>
        </w:rPr>
        <w:t>الحظر الوارد بقرار</w:t>
      </w:r>
      <w:r>
        <w:rPr>
          <w:rFonts w:asciiTheme="minorBidi" w:hAnsiTheme="minorBidi" w:cstheme="minorBidi"/>
          <w:sz w:val="32"/>
          <w:szCs w:val="32"/>
          <w:rtl/>
        </w:rPr>
        <w:t>ي</w:t>
      </w:r>
      <w:r>
        <w:rPr>
          <w:rFonts w:asciiTheme="minorBidi" w:hAnsiTheme="minorBidi" w:cstheme="minorBidi"/>
          <w:sz w:val="32"/>
          <w:szCs w:val="32"/>
          <w:rtl/>
          <w:lang w:bidi="ar-EG"/>
        </w:rPr>
        <w:t xml:space="preserve"> وزير المالية </w:t>
      </w:r>
      <w:r>
        <w:rPr>
          <w:rFonts w:asciiTheme="minorBidi" w:hAnsiTheme="minorBidi" w:cstheme="minorBidi"/>
          <w:sz w:val="32"/>
          <w:szCs w:val="32"/>
          <w:rtl/>
        </w:rPr>
        <w:t xml:space="preserve">رقمي 199 لسنة 1992، و 92 لسنة 2012، بحسبان أن تقاضيهم لتلك المبالغ هو في حقيقة الأمر تقاضيا لمقابل جهود غير عادية وأعمالا إضافية بمناسبة اشتراكهم في عضوية لجان تتطلب أعمالها جهدا إضافيا عليهم أن ينهضوا به إلى جانب الأعباء الوظيفية الأصلية المسندة إليهم، وتخرج أعمال تلك اللجان عن نطاق الرقابة على الجهات الإدارية المكلفون بالرقابة عليها، وذلك على النحو الذى </w:t>
      </w:r>
      <w:r>
        <w:rPr>
          <w:rStyle w:val="labelstyle"/>
          <w:rFonts w:asciiTheme="minorBidi" w:eastAsia="Arial Unicode MS" w:hAnsiTheme="minorBidi" w:cstheme="minorBidi"/>
          <w:sz w:val="32"/>
          <w:szCs w:val="32"/>
          <w:rtl/>
        </w:rPr>
        <w:t xml:space="preserve">انتهت إليه </w:t>
      </w:r>
      <w:r>
        <w:rPr>
          <w:rFonts w:asciiTheme="minorBidi" w:hAnsiTheme="minorBidi" w:cstheme="minorBidi"/>
          <w:sz w:val="32"/>
          <w:szCs w:val="32"/>
          <w:rtl/>
          <w:lang w:bidi="ar-EG"/>
        </w:rPr>
        <w:t>الإدارة المركزية للتشريع المالي بوزارة المالية بكتبها المشار إليها. وقد قام المحالون بتأدية أعمال تلك اللجان</w:t>
      </w:r>
      <w:r>
        <w:rPr>
          <w:rFonts w:asciiTheme="minorBidi" w:hAnsiTheme="minorBidi" w:cstheme="minorBidi"/>
          <w:sz w:val="32"/>
          <w:szCs w:val="32"/>
          <w:rtl/>
        </w:rPr>
        <w:t xml:space="preserve">ا في غير أوقات العمل الرسمية، مع مجموعة من الموظفين المختصين في إطار عمل مشترك، لا يخضع - كأصل عام - لمراجعة رؤسائهم، وقد باشروه تحت مسئوليتهم الشخصية، ومن ثم فقد استحقوا الحافز المقرر بموجب قرار المدير التنفيذي للهيئة العامة لمشروعات التعمير والتنمية الزراعية رقم 12 لسنة 2012 المتضمن في مادته الثانية صرف حافز شهري لأعضاء لجنة إعادة تقييم أصول فرع هيئة تنمية بحيرة السد العالي بأسوان من خارج الهيئة بواقع 500 جنيه شهريا.  </w:t>
      </w:r>
    </w:p>
    <w:p w:rsidR="00AD18A8" w:rsidRDefault="00AD18A8" w:rsidP="005A39F7">
      <w:pPr>
        <w:bidi/>
        <w:spacing w:after="240"/>
        <w:ind w:left="170" w:right="227" w:firstLine="373"/>
        <w:jc w:val="both"/>
        <w:rPr>
          <w:rFonts w:asciiTheme="minorBidi" w:hAnsiTheme="minorBidi" w:cstheme="minorBidi"/>
          <w:sz w:val="32"/>
          <w:szCs w:val="32"/>
          <w:rtl/>
        </w:rPr>
      </w:pPr>
      <w:r>
        <w:rPr>
          <w:rFonts w:asciiTheme="minorBidi" w:hAnsiTheme="minorBidi" w:cstheme="minorBidi"/>
          <w:sz w:val="32"/>
          <w:szCs w:val="32"/>
          <w:rtl/>
        </w:rPr>
        <w:lastRenderedPageBreak/>
        <w:t xml:space="preserve">ومن حيث إنه متى كان ما تقدم، فلا مراء في أنه لا يؤاخذ المحالين </w:t>
      </w:r>
      <w:r>
        <w:rPr>
          <w:rFonts w:asciiTheme="minorBidi" w:hAnsiTheme="minorBidi" w:cstheme="minorBidi"/>
          <w:sz w:val="32"/>
          <w:szCs w:val="32"/>
          <w:rtl/>
          <w:lang w:bidi="ar-EG"/>
        </w:rPr>
        <w:t>–</w:t>
      </w:r>
      <w:r>
        <w:rPr>
          <w:rFonts w:asciiTheme="minorBidi" w:hAnsiTheme="minorBidi" w:cstheme="minorBidi"/>
          <w:sz w:val="32"/>
          <w:szCs w:val="32"/>
          <w:rtl/>
        </w:rPr>
        <w:t xml:space="preserve"> فيما عدا المحال الثالث - بتمسكهم بنص قانوني يبيح لهم تقاضي الحافز المذكور المقرر لأقرانهم بلجنة تقييم أصول هيئة تنمية بحيرة السد العالي بأسوان، وتمسكهم </w:t>
      </w:r>
      <w:r>
        <w:rPr>
          <w:rFonts w:asciiTheme="minorBidi" w:hAnsiTheme="minorBidi" w:cstheme="minorBidi" w:hint="cs"/>
          <w:sz w:val="32"/>
          <w:szCs w:val="32"/>
          <w:rtl/>
        </w:rPr>
        <w:t>بالتبعية</w:t>
      </w:r>
      <w:r>
        <w:rPr>
          <w:rFonts w:asciiTheme="minorBidi" w:hAnsiTheme="minorBidi" w:cstheme="minorBidi"/>
          <w:sz w:val="32"/>
          <w:szCs w:val="32"/>
          <w:rtl/>
        </w:rPr>
        <w:t xml:space="preserve"> بصرف نظير أعمال كُلِّفوا بها في غير أوقات عملهم الرسمية، ذلك أن مسئولية الموظف التأديبية تقع إذا ما قام بصرف مبالغ مالية وهو يعلم أنه لا يستحقها، بأن تقاضاها عن أعمال لم يقم بها فعلا، فيتعين عليه ردها وإلا صار مستحِقا لجزاء تأديبي، إلا أن هذا المبدأ في الوقت ذاته يغدو بلا محل حال وجود خلاف على أحقيته في صرف مبالغ مالية مقابل عمل أداه بالفعل دون ادعاء عليه بأدائه منقوصا أو على نحو غير سديد، إعمالا لمبدأ أصولي مؤداه أن الأجر مقابل العمل، ومن ثم فإن نِسبة مخالفة للعامل بسبب ما تحصل عليه من مبالغ يتعين أن يقوم على يقين بتحايله في الحصول على تلك المبالغ حال عدم استحقاقها (المحكمة الإدارية العليا في الطعن رقم 3982 لسنة 53ق.ع بجلسة 11/4/2009).</w:t>
      </w:r>
    </w:p>
    <w:p w:rsidR="00AD18A8" w:rsidRDefault="00AD18A8" w:rsidP="005A39F7">
      <w:pPr>
        <w:bidi/>
        <w:spacing w:after="240"/>
        <w:ind w:left="170" w:right="227" w:firstLine="373"/>
        <w:jc w:val="both"/>
        <w:rPr>
          <w:rFonts w:asciiTheme="minorBidi" w:hAnsiTheme="minorBidi" w:cstheme="minorBidi"/>
          <w:sz w:val="32"/>
          <w:szCs w:val="32"/>
          <w:rtl/>
        </w:rPr>
      </w:pPr>
      <w:r>
        <w:rPr>
          <w:rFonts w:asciiTheme="minorBidi" w:hAnsiTheme="minorBidi" w:cstheme="minorBidi"/>
          <w:sz w:val="32"/>
          <w:szCs w:val="32"/>
          <w:rtl/>
        </w:rPr>
        <w:t xml:space="preserve"> أما فيما يتعلق بالمخالفة المنسوبة للمحال الثالث، فإنه في ضوء ما أفاد به المحال الثالث بمذكرة دفاعه المقدمة بجلسة 28/7/2021 من عدم اشتراكه في لجان نقل الأصول وتقييم الأصول والمتأخرات، </w:t>
      </w:r>
      <w:r>
        <w:rPr>
          <w:rFonts w:asciiTheme="minorBidi" w:hAnsiTheme="minorBidi" w:cstheme="minorBidi"/>
          <w:sz w:val="32"/>
          <w:szCs w:val="32"/>
          <w:rtl/>
          <w:lang w:bidi="ar-EG"/>
        </w:rPr>
        <w:t>وما قام بتقديمه من مستندات تفيد ذلك، وإزاء سكوت سلطة الاتهام عن الرد على أقوال المحال المؤيدة بالمستندات وتفنيدها وبيان مدى صحتها من عدمه، فقد وقر في ضمير المحكمة وعقيدتها عدم اشتراك المحال الثالث في اللجان محل تقرير الاتهام الماثل</w:t>
      </w:r>
      <w:r>
        <w:rPr>
          <w:rFonts w:asciiTheme="minorBidi" w:hAnsiTheme="minorBidi" w:cstheme="minorBidi"/>
          <w:sz w:val="32"/>
          <w:szCs w:val="32"/>
          <w:rtl/>
        </w:rPr>
        <w:t xml:space="preserve"> لاسيما وأنها قد طالعت كتاب وزير المالية رقم 1575 المؤرخ 3/8/2011 بشأن ترشيح ممثلي وزارة المالية في عضوية لجنة إعادة تقييم أصول هيئة تنمية بحيرة السد العالي بأسوان، وكذا كتاب وزير المالية المؤرخ 29/5/2012 بشأن الموافقة على طلب وزير الزراعة واستصلاح الأراضي بترشيح ممثلين من وزارة المالية في أعمال اللجنة المذكورة، وتبين لها أن الكتابين المذكورين لم يتضمنا مشاركة المحال الثالث في عضوية اللجنة المذكورة، فضلا عن محاضر لجان نقل الأصول والمتأخرات قد جاءت خلوا مما يفيد اشتراكه بهما، مما لا يصدق معه وصف المخالفة التأديبية على أي من المحالين للأسباب السابق سردها تفصيلا، فينتفي في حقهم جميعا القول بخروجهم على مقتضى الواجب الوظيفي، فتبرأ ساحتهم مما نُسب إليهم، وهو ما تقضي به المحكمة. </w:t>
      </w:r>
    </w:p>
    <w:p w:rsidR="00AD18A8" w:rsidRPr="00AD18A8" w:rsidRDefault="00AD18A8" w:rsidP="005A39F7">
      <w:pPr>
        <w:pStyle w:val="1"/>
        <w:bidi w:val="0"/>
        <w:spacing w:after="240"/>
        <w:ind w:firstLine="373"/>
        <w:jc w:val="center"/>
        <w:rPr>
          <w:rFonts w:asciiTheme="minorBidi" w:hAnsiTheme="minorBidi" w:cstheme="minorBidi"/>
          <w:sz w:val="32"/>
          <w:szCs w:val="32"/>
          <w:u w:val="single"/>
          <w:shd w:val="clear" w:color="auto" w:fill="FFFFFF"/>
          <w:rtl/>
        </w:rPr>
      </w:pPr>
      <w:r w:rsidRPr="00AD18A8">
        <w:rPr>
          <w:rFonts w:asciiTheme="minorBidi" w:hAnsiTheme="minorBidi" w:cstheme="minorBidi" w:hint="cs"/>
          <w:sz w:val="32"/>
          <w:szCs w:val="32"/>
          <w:u w:val="single"/>
          <w:shd w:val="clear" w:color="auto" w:fill="FFFFFF"/>
          <w:rtl/>
        </w:rPr>
        <w:t>فلهذه الأسباب</w:t>
      </w:r>
    </w:p>
    <w:p w:rsidR="002348F8" w:rsidRPr="00AD18A8" w:rsidRDefault="00AD18A8" w:rsidP="005A39F7">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xml:space="preserve"> ببراءة كل من المحال الأول/ عادل جرجس متى، والمحال الثاني / سامح عمر عبد الستار عمر، والمحال الثالث / رجب إبراهيم عبد الحميد، والمحال الرابع / أكرم محفوظ غالي مما نسب إليهم .</w:t>
      </w:r>
    </w:p>
    <w:p w:rsidR="006C44F1" w:rsidRDefault="006C44F1" w:rsidP="005A39F7">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6F8" w:rsidRDefault="004726F8">
      <w:r>
        <w:separator/>
      </w:r>
    </w:p>
  </w:endnote>
  <w:endnote w:type="continuationSeparator" w:id="1">
    <w:p w:rsidR="004726F8" w:rsidRDefault="00472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6455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6455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F24AB">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6F8" w:rsidRDefault="004726F8">
      <w:r>
        <w:separator/>
      </w:r>
    </w:p>
  </w:footnote>
  <w:footnote w:type="continuationSeparator" w:id="1">
    <w:p w:rsidR="004726F8" w:rsidRDefault="00472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D18A8">
          <w:rPr>
            <w:rFonts w:hint="cs"/>
            <w:sz w:val="28"/>
            <w:szCs w:val="28"/>
            <w:u w:val="single"/>
            <w:rtl/>
            <w:lang w:bidi="ar-EG"/>
          </w:rPr>
          <w:t>في الدعوي رقم 95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-74930</wp:posOffset>
          </wp:positionV>
          <wp:extent cx="637540" cy="76073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760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048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8C"/>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2BB"/>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6F8"/>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39F7"/>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2F2"/>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4AB"/>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5F8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4553"/>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8A8"/>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A08"/>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5EFF"/>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AD18A8"/>
    <w:rPr>
      <w:sz w:val="24"/>
      <w:szCs w:val="24"/>
      <w:lang w:eastAsia="ar-SA"/>
    </w:rPr>
  </w:style>
  <w:style w:type="paragraph" w:customStyle="1" w:styleId="1">
    <w:name w:val="بلا تباعد1"/>
    <w:qFormat/>
    <w:rsid w:val="00AD18A8"/>
    <w:pPr>
      <w:bidi/>
      <w:ind w:left="-1192" w:right="-1560"/>
      <w:jc w:val="lowKashida"/>
    </w:pPr>
    <w:rPr>
      <w:rFonts w:ascii="Arial" w:hAnsi="Arial" w:cs="Arial"/>
      <w:b/>
      <w:bCs/>
      <w:sz w:val="22"/>
      <w:szCs w:val="22"/>
      <w:lang w:bidi="ar-EG"/>
    </w:rPr>
  </w:style>
  <w:style w:type="character" w:customStyle="1" w:styleId="labelstyle">
    <w:name w:val="labelstyle"/>
    <w:rsid w:val="00AD18A8"/>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67871491">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13F5"/>
    <w:rsid w:val="00147021"/>
    <w:rsid w:val="001471F2"/>
    <w:rsid w:val="0017429E"/>
    <w:rsid w:val="002219B0"/>
    <w:rsid w:val="00260D71"/>
    <w:rsid w:val="002A6F56"/>
    <w:rsid w:val="002A7286"/>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DE0DFB"/>
    <w:rsid w:val="00EB2D08"/>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2368</Words>
  <Characters>13500</Characters>
  <Application>Microsoft Office Word</Application>
  <DocSecurity>0</DocSecurity>
  <Lines>112</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55</cp:revision>
  <cp:lastPrinted>2019-10-26T08:39:00Z</cp:lastPrinted>
  <dcterms:created xsi:type="dcterms:W3CDTF">2019-09-24T23:17:00Z</dcterms:created>
  <dcterms:modified xsi:type="dcterms:W3CDTF">2022-03-05T11:40:00Z</dcterms:modified>
  <cp:contentStatus>في الدعوي رقم 95 لسنة 63 ق.</cp:contentStatus>
</cp:coreProperties>
</file>