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F6FC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F6FC2">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F6FC2">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B4825">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B4825">
            <w:rPr>
              <w:rFonts w:ascii="Arial" w:hAnsi="Arial" w:cs="Arial" w:hint="cs"/>
              <w:sz w:val="32"/>
              <w:szCs w:val="32"/>
              <w:rtl/>
              <w:lang w:bidi="ar-EG"/>
            </w:rPr>
            <w:t>76</w:t>
          </w:r>
          <w:r>
            <w:rPr>
              <w:rFonts w:ascii="Arial" w:hAnsi="Arial" w:cs="Arial" w:hint="cs"/>
              <w:sz w:val="32"/>
              <w:szCs w:val="32"/>
              <w:rtl/>
              <w:lang w:bidi="ar-EG"/>
            </w:rPr>
            <w:t xml:space="preserve"> لسنة </w:t>
          </w:r>
          <w:r w:rsidR="00FB4825">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FB4825" w:rsidRPr="00FB4825" w:rsidRDefault="00954078" w:rsidP="00FB4825">
      <w:pPr>
        <w:pStyle w:val="normal"/>
        <w:spacing w:before="120" w:after="120" w:line="240" w:lineRule="auto"/>
        <w:ind w:hanging="24"/>
        <w:jc w:val="center"/>
        <w:rPr>
          <w:rFonts w:ascii="Traditional Arabic" w:eastAsia="Traditional Arabic" w:hAnsi="Traditional Arabic" w:cstheme="minorBidi" w:hint="cs"/>
          <w:bCs/>
          <w:sz w:val="32"/>
          <w:szCs w:val="32"/>
          <w:rtl/>
        </w:rPr>
      </w:pPr>
      <w:r w:rsidRPr="00FB4825">
        <w:rPr>
          <w:rFonts w:ascii="Traditional Arabic" w:eastAsia="Traditional Arabic" w:hAnsi="Traditional Arabic" w:cstheme="minorBidi"/>
          <w:bCs/>
          <w:sz w:val="32"/>
          <w:szCs w:val="32"/>
          <w:rtl/>
        </w:rPr>
        <w:t>المقامة من/</w:t>
      </w:r>
    </w:p>
    <w:p w:rsidR="00954078" w:rsidRDefault="00954078" w:rsidP="00FB4825">
      <w:pPr>
        <w:pStyle w:val="normal"/>
        <w:spacing w:before="120" w:after="120" w:line="240" w:lineRule="auto"/>
        <w:ind w:hanging="24"/>
        <w:jc w:val="center"/>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النيابة الإدارية.</w:t>
      </w:r>
    </w:p>
    <w:p w:rsidR="00954078" w:rsidRPr="00FB4825" w:rsidRDefault="00954078" w:rsidP="00FB4825">
      <w:pPr>
        <w:pStyle w:val="normal"/>
        <w:spacing w:before="120" w:after="120" w:line="240" w:lineRule="auto"/>
        <w:ind w:hanging="24"/>
        <w:jc w:val="center"/>
        <w:rPr>
          <w:rFonts w:ascii="Traditional Arabic" w:eastAsia="Traditional Arabic" w:hAnsi="Traditional Arabic" w:cstheme="minorBidi"/>
          <w:bCs/>
          <w:sz w:val="32"/>
          <w:szCs w:val="32"/>
        </w:rPr>
      </w:pPr>
      <w:bookmarkStart w:id="1" w:name="_gjdgxs"/>
      <w:bookmarkEnd w:id="1"/>
      <w:r w:rsidRPr="00FB4825">
        <w:rPr>
          <w:rFonts w:ascii="Traditional Arabic" w:eastAsia="Traditional Arabic" w:hAnsi="Traditional Arabic" w:cstheme="minorBidi"/>
          <w:bCs/>
          <w:sz w:val="32"/>
          <w:szCs w:val="32"/>
          <w:rtl/>
        </w:rPr>
        <w:t>ضــــــــــــــــد</w:t>
      </w:r>
    </w:p>
    <w:p w:rsidR="00954078" w:rsidRDefault="00954078" w:rsidP="00FB4825">
      <w:pPr>
        <w:pStyle w:val="normal"/>
        <w:spacing w:before="120" w:after="120" w:line="240" w:lineRule="auto"/>
        <w:ind w:left="-24"/>
        <w:jc w:val="center"/>
        <w:rPr>
          <w:rFonts w:cstheme="minorBidi"/>
          <w:b/>
          <w:sz w:val="32"/>
          <w:szCs w:val="32"/>
        </w:rPr>
      </w:pPr>
      <w:r>
        <w:rPr>
          <w:rFonts w:ascii="Traditional Arabic" w:eastAsia="Traditional Arabic" w:hAnsi="Traditional Arabic" w:cstheme="minorBidi"/>
          <w:b/>
          <w:sz w:val="32"/>
          <w:szCs w:val="32"/>
          <w:rtl/>
        </w:rPr>
        <w:t>ربيع عبدالسلام عيسوي أحمد.</w:t>
      </w:r>
    </w:p>
    <w:p w:rsidR="00954078" w:rsidRPr="00FB4825" w:rsidRDefault="00954078" w:rsidP="00FB4825">
      <w:pPr>
        <w:pStyle w:val="normal"/>
        <w:spacing w:before="120" w:after="120" w:line="240" w:lineRule="auto"/>
        <w:ind w:hanging="24"/>
        <w:jc w:val="lowKashida"/>
        <w:rPr>
          <w:rFonts w:ascii="Traditional Arabic" w:eastAsia="Traditional Arabic" w:hAnsi="Traditional Arabic" w:cstheme="minorBidi"/>
          <w:bCs/>
          <w:sz w:val="32"/>
          <w:szCs w:val="32"/>
        </w:rPr>
      </w:pPr>
      <w:r w:rsidRPr="00FB4825">
        <w:rPr>
          <w:rFonts w:ascii="Traditional Arabic" w:eastAsia="Traditional Arabic" w:hAnsi="Traditional Arabic" w:cstheme="minorBidi"/>
          <w:bCs/>
          <w:sz w:val="32"/>
          <w:szCs w:val="32"/>
        </w:rPr>
        <w:t xml:space="preserve"> </w:t>
      </w:r>
      <w:r w:rsidRPr="00FB4825">
        <w:rPr>
          <w:rFonts w:ascii="Traditional Arabic" w:eastAsia="Traditional Arabic" w:hAnsi="Traditional Arabic" w:cstheme="minorBidi"/>
          <w:bCs/>
          <w:sz w:val="32"/>
          <w:szCs w:val="32"/>
          <w:u w:val="single"/>
          <w:rtl/>
        </w:rPr>
        <w:t xml:space="preserve">الوقائع </w:t>
      </w:r>
      <w:r w:rsidRPr="00FB4825">
        <w:rPr>
          <w:rFonts w:ascii="Traditional Arabic" w:eastAsia="Traditional Arabic" w:hAnsi="Traditional Arabic" w:cstheme="minorBidi"/>
          <w:bCs/>
          <w:sz w:val="32"/>
          <w:szCs w:val="32"/>
          <w:rtl/>
        </w:rPr>
        <w:t xml:space="preserve"> </w:t>
      </w:r>
      <w:r w:rsidRPr="00FB4825">
        <w:rPr>
          <w:rFonts w:ascii="Traditional Arabic" w:eastAsia="Traditional Arabic" w:hAnsi="Traditional Arabic" w:cstheme="minorBidi"/>
          <w:bCs/>
          <w:sz w:val="32"/>
          <w:szCs w:val="32"/>
        </w:rPr>
        <w:t xml:space="preserve"> </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أقامت النيابة الإدارية الدعوى الماثلة بإيداع أوراقها قلم كتاب هذه المحكمة بتاريخ 21/5/2022 مشتملة على ملف التحقيقات في القضية رقم 455 لسنة 2021 رئاسة، وتقرير اتهام ضد: -</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Pr>
        <w:t xml:space="preserve">- </w:t>
      </w:r>
      <w:r>
        <w:rPr>
          <w:rFonts w:ascii="Traditional Arabic" w:eastAsia="Traditional Arabic" w:hAnsi="Traditional Arabic" w:cstheme="minorBidi"/>
          <w:b/>
          <w:sz w:val="32"/>
          <w:szCs w:val="32"/>
          <w:rtl/>
        </w:rPr>
        <w:t>ربيع عبدالسلام عيسوي أحمد</w:t>
      </w:r>
      <w:r>
        <w:rPr>
          <w:rFonts w:ascii="Traditional Arabic" w:eastAsia="Traditional Arabic" w:hAnsi="Traditional Arabic" w:cstheme="minorBidi"/>
          <w:sz w:val="32"/>
          <w:szCs w:val="32"/>
          <w:rtl/>
        </w:rPr>
        <w:t xml:space="preserve"> ، رئيس قطاع المشرف علي الإدارة العامة للضرائب العقارية بقطاع القليوبية بالجهاز المركزي للمحاسبات- درجة وكيل وزارة.</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sz w:val="32"/>
          <w:szCs w:val="32"/>
          <w:rtl/>
        </w:rPr>
        <w:t xml:space="preserve">لأنه خلال الفترة من 26/2/2019 وحتي 4/2/2021 بوصفه السابق وبدائرة عمله المشار </w:t>
      </w:r>
      <w:r w:rsidR="00FB4825">
        <w:rPr>
          <w:rFonts w:ascii="Traditional Arabic" w:eastAsia="Traditional Arabic" w:hAnsi="Traditional Arabic" w:cstheme="minorBidi" w:hint="cs"/>
          <w:sz w:val="32"/>
          <w:szCs w:val="32"/>
          <w:rtl/>
        </w:rPr>
        <w:t>إليها</w:t>
      </w:r>
      <w:r>
        <w:rPr>
          <w:rFonts w:ascii="Traditional Arabic" w:eastAsia="Traditional Arabic" w:hAnsi="Traditional Arabic" w:cstheme="minorBidi"/>
          <w:sz w:val="32"/>
          <w:szCs w:val="32"/>
          <w:rtl/>
        </w:rPr>
        <w:t xml:space="preserve">, سلك مسلكا لا يتفق </w:t>
      </w:r>
      <w:r w:rsidR="00FB4825">
        <w:rPr>
          <w:rFonts w:ascii="Traditional Arabic" w:eastAsia="Traditional Arabic" w:hAnsi="Traditional Arabic" w:cstheme="minorBidi" w:hint="cs"/>
          <w:sz w:val="32"/>
          <w:szCs w:val="32"/>
          <w:rtl/>
        </w:rPr>
        <w:t>والاحترام</w:t>
      </w:r>
      <w:r>
        <w:rPr>
          <w:rFonts w:ascii="Traditional Arabic" w:eastAsia="Traditional Arabic" w:hAnsi="Traditional Arabic" w:cstheme="minorBidi"/>
          <w:sz w:val="32"/>
          <w:szCs w:val="32"/>
          <w:rtl/>
        </w:rPr>
        <w:t xml:space="preserve"> الواجب وخالف أحكام اللائحة المنظمة لعمله وذلك بأن:  اشترك مع </w:t>
      </w:r>
      <w:r w:rsidR="00FB4825">
        <w:rPr>
          <w:rFonts w:ascii="Traditional Arabic" w:eastAsia="Traditional Arabic" w:hAnsi="Traditional Arabic" w:cstheme="minorBidi" w:hint="cs"/>
          <w:sz w:val="32"/>
          <w:szCs w:val="32"/>
          <w:rtl/>
        </w:rPr>
        <w:t>آخرين</w:t>
      </w:r>
      <w:r>
        <w:rPr>
          <w:rFonts w:ascii="Traditional Arabic" w:eastAsia="Traditional Arabic" w:hAnsi="Traditional Arabic" w:cstheme="minorBidi"/>
          <w:sz w:val="32"/>
          <w:szCs w:val="32"/>
          <w:rtl/>
        </w:rPr>
        <w:t xml:space="preserve"> يوم 26/2/2019 في الاعتداء علي بعض المواطنين محدثين إصابات بهم علي النحو الوارد بالحكم الصادر من محكمة الجنايات في القضية رقم 4374 لسنة 2019 مركز الباجور والمقيدة برقم 780 لسنة 2019 ج .كلي شبين الكوم, وذلك علي النحو الموضح </w:t>
      </w:r>
      <w:r w:rsidR="00FB4825">
        <w:rPr>
          <w:rFonts w:ascii="Traditional Arabic" w:eastAsia="Traditional Arabic" w:hAnsi="Traditional Arabic" w:cstheme="minorBidi" w:hint="cs"/>
          <w:sz w:val="32"/>
          <w:szCs w:val="32"/>
          <w:rtl/>
        </w:rPr>
        <w:t>بالأوراق</w:t>
      </w:r>
      <w:r>
        <w:rPr>
          <w:rFonts w:ascii="Traditional Arabic" w:eastAsia="Traditional Arabic" w:hAnsi="Traditional Arabic" w:cstheme="minorBidi"/>
          <w:sz w:val="32"/>
          <w:szCs w:val="32"/>
          <w:rtl/>
        </w:rPr>
        <w:t xml:space="preserve">. </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وارتأت النيابة الإدارية أن المحال قد ارتكب المخالفة الإدارية بالمواد أرقام (55/1),(57),(58)و(59) من قرار رئيس الجمهورية رقم 196 لسنة 1997 الصادر بشأن لائحة العاملين بالجهاز المركزي للمحاسبات. </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وتحددت لنظر الدعوى أمام المحكمة جلسة 22/6/2022، وتدوولت أمامها على النحو الثابت بمحاضر جلساتها، وبجلسة 27/7/2022 قدم المحال ثلاث حوافظ مستندات طويت على المدون بغلافها ومذكرة دفاع طلب فيها الحكم ببراءته مما نسب إليه،  وبذات الجلسة قررت المحكمة حجز الدعوى للحكم بجلسة اليوم، وبها صدر الحكم وأودعت مسودته متضمنة أسبابه عند النطق به.</w:t>
      </w:r>
    </w:p>
    <w:p w:rsidR="00954078" w:rsidRPr="00FB4825" w:rsidRDefault="00954078" w:rsidP="00FB4825">
      <w:pPr>
        <w:pStyle w:val="normal"/>
        <w:spacing w:before="120" w:after="120" w:line="240" w:lineRule="auto"/>
        <w:ind w:hanging="24"/>
        <w:jc w:val="center"/>
        <w:rPr>
          <w:rFonts w:ascii="Traditional Arabic" w:eastAsia="Traditional Arabic" w:hAnsi="Traditional Arabic" w:cstheme="minorBidi"/>
          <w:bCs/>
          <w:sz w:val="32"/>
          <w:szCs w:val="32"/>
          <w:u w:val="single"/>
        </w:rPr>
      </w:pPr>
      <w:r w:rsidRPr="00FB4825">
        <w:rPr>
          <w:rFonts w:ascii="Traditional Arabic" w:eastAsia="Traditional Arabic" w:hAnsi="Traditional Arabic" w:cstheme="minorBidi"/>
          <w:bCs/>
          <w:sz w:val="32"/>
          <w:szCs w:val="32"/>
          <w:u w:val="single"/>
          <w:rtl/>
        </w:rPr>
        <w:t>المحكمة</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b/>
          <w:sz w:val="32"/>
          <w:szCs w:val="32"/>
          <w:u w:val="single"/>
        </w:rPr>
      </w:pPr>
      <w:r>
        <w:rPr>
          <w:rFonts w:ascii="Traditional Arabic" w:eastAsia="Traditional Arabic" w:hAnsi="Traditional Arabic" w:cstheme="minorBidi"/>
          <w:b/>
          <w:sz w:val="32"/>
          <w:szCs w:val="32"/>
          <w:u w:val="single"/>
          <w:rtl/>
        </w:rPr>
        <w:t>بعد الاطلاع على الأوراق، وسماع الإيضاحات والمداولة قانونا.</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ومن حيث إن النيابة الإدارية تطلب محاكمة المحال تأديبيا عما نسب إليه من مخالفة طبقاً للقيد والوصف ومواد القانون الواردة تفصيلاً بتقرير الاتهام.</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الدعوى قد استوفت سائر أوضاعها الشكلية المقررة قانونا، فإنها تكون مقبولة شكلا.</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ومن حيث إن وقائع الدعوى الماثلة تتلخص فيما جاء ببلاغ الجهاز المركزي للمحاسبات رقم3/ 1313المؤرخ ١٤/۲۰۲۱/۱۱ والوارد للنيابة </w:t>
      </w:r>
      <w:r>
        <w:rPr>
          <w:rFonts w:ascii="Traditional Arabic" w:eastAsia="Traditional Arabic" w:hAnsi="Traditional Arabic" w:cstheme="minorBidi" w:hint="cs"/>
          <w:sz w:val="32"/>
          <w:szCs w:val="32"/>
          <w:rtl/>
        </w:rPr>
        <w:t>الإدارية</w:t>
      </w:r>
      <w:r>
        <w:rPr>
          <w:rFonts w:ascii="Traditional Arabic" w:eastAsia="Traditional Arabic" w:hAnsi="Traditional Arabic" w:cstheme="minorBidi"/>
          <w:sz w:val="32"/>
          <w:szCs w:val="32"/>
          <w:rtl/>
        </w:rPr>
        <w:t xml:space="preserve"> برقم 568٢ في 15/11/2021 بشأن طلب إحالة السيد / ربيع عبد السلام عيسوى أحمد - عضو الجهاز للمحاكمة التأديبية لما نسب إليه في التحقيق الإداري رقم 30 لسنة 2021, والمنتهي بمذكرة الإدارة المركزية للشئون القانونية بالجهاز المركزي للمحاسبات المؤرخة 26/10/2021 المتضمنة أن السيد/ ربيع عبد السلام عيسوى أحمد – تم حبسه على ذمة القضية رقم 4374 لسنة ٢٠١٩ جنح الباجور والمقيدة برقم 870 لسنة ٢٠١٩ ج / كلى شبين الكوم – الفترة من 4/1/2021 وحتى 4/2/2021 </w:t>
      </w:r>
      <w:r>
        <w:rPr>
          <w:rFonts w:ascii="Traditional Arabic" w:eastAsia="Traditional Arabic" w:hAnsi="Traditional Arabic" w:cstheme="minorBidi" w:hint="cs"/>
          <w:sz w:val="32"/>
          <w:szCs w:val="32"/>
          <w:rtl/>
        </w:rPr>
        <w:t>احتياطيا</w:t>
      </w:r>
      <w:r>
        <w:rPr>
          <w:rFonts w:ascii="Traditional Arabic" w:eastAsia="Traditional Arabic" w:hAnsi="Traditional Arabic" w:cstheme="minorBidi"/>
          <w:sz w:val="32"/>
          <w:szCs w:val="32"/>
          <w:rtl/>
        </w:rPr>
        <w:t xml:space="preserve"> وقضت المحكمة بحكمها بتاريخ 4/2/2021 حضوريا - بمعاقبته وآخرين بالحبس سنة واحدة والإيقاف عما أسند إليه من ضرب أحدث إصابات تزيد مدة علاجها عن عشرين يوما باستخدام سلاح ناری وعصى مما تستخدم في </w:t>
      </w:r>
      <w:r>
        <w:rPr>
          <w:rFonts w:ascii="Traditional Arabic" w:eastAsia="Traditional Arabic" w:hAnsi="Traditional Arabic" w:cstheme="minorBidi" w:hint="cs"/>
          <w:sz w:val="32"/>
          <w:szCs w:val="32"/>
          <w:rtl/>
        </w:rPr>
        <w:t>الاعتداء</w:t>
      </w:r>
      <w:r>
        <w:rPr>
          <w:rFonts w:ascii="Traditional Arabic" w:eastAsia="Traditional Arabic" w:hAnsi="Traditional Arabic" w:cstheme="minorBidi"/>
          <w:sz w:val="32"/>
          <w:szCs w:val="32"/>
          <w:rtl/>
        </w:rPr>
        <w:t xml:space="preserve"> على الأشخاص. وقد أشارت مذكرة الإدارة المركزية للشئون القانونية بالجهاز المركزي للمحاسبات إلى أن المذكور حصل على إجازة أمراض مزمنة بصفة </w:t>
      </w:r>
      <w:r>
        <w:rPr>
          <w:rFonts w:ascii="Traditional Arabic" w:eastAsia="Traditional Arabic" w:hAnsi="Traditional Arabic" w:cstheme="minorBidi" w:hint="cs"/>
          <w:sz w:val="32"/>
          <w:szCs w:val="32"/>
          <w:rtl/>
        </w:rPr>
        <w:t>استثنائية</w:t>
      </w:r>
      <w:r>
        <w:rPr>
          <w:rFonts w:ascii="Traditional Arabic" w:eastAsia="Traditional Arabic" w:hAnsi="Traditional Arabic" w:cstheme="minorBidi"/>
          <w:sz w:val="32"/>
          <w:szCs w:val="32"/>
          <w:rtl/>
        </w:rPr>
        <w:t xml:space="preserve"> </w:t>
      </w:r>
      <w:r>
        <w:rPr>
          <w:rFonts w:ascii="Traditional Arabic" w:eastAsia="Traditional Arabic" w:hAnsi="Traditional Arabic" w:cstheme="minorBidi" w:hint="cs"/>
          <w:sz w:val="32"/>
          <w:szCs w:val="32"/>
          <w:rtl/>
        </w:rPr>
        <w:t>اعتبارا</w:t>
      </w:r>
      <w:r>
        <w:rPr>
          <w:rFonts w:ascii="Traditional Arabic" w:eastAsia="Traditional Arabic" w:hAnsi="Traditional Arabic" w:cstheme="minorBidi"/>
          <w:sz w:val="32"/>
          <w:szCs w:val="32"/>
          <w:rtl/>
        </w:rPr>
        <w:t xml:space="preserve"> من ۲۰۲۰/۱۲/۲۷ بموجب المادة الثانية من قرار رئيس الجهاز رقم ۲۱۳۲ لسنة ٢٠٢٠، فى حين خلت مذكرة التصرف وتقرير </w:t>
      </w:r>
      <w:r>
        <w:rPr>
          <w:rFonts w:ascii="Traditional Arabic" w:eastAsia="Traditional Arabic" w:hAnsi="Traditional Arabic" w:cstheme="minorBidi" w:hint="cs"/>
          <w:sz w:val="32"/>
          <w:szCs w:val="32"/>
          <w:rtl/>
        </w:rPr>
        <w:t>الاتهام</w:t>
      </w:r>
      <w:r>
        <w:rPr>
          <w:rFonts w:ascii="Traditional Arabic" w:eastAsia="Traditional Arabic" w:hAnsi="Traditional Arabic" w:cstheme="minorBidi"/>
          <w:sz w:val="32"/>
          <w:szCs w:val="32"/>
          <w:rtl/>
        </w:rPr>
        <w:t xml:space="preserve"> من </w:t>
      </w:r>
      <w:r>
        <w:rPr>
          <w:rFonts w:ascii="Traditional Arabic" w:eastAsia="Traditional Arabic" w:hAnsi="Traditional Arabic" w:cstheme="minorBidi" w:hint="cs"/>
          <w:sz w:val="32"/>
          <w:szCs w:val="32"/>
          <w:rtl/>
        </w:rPr>
        <w:t>أدنى</w:t>
      </w:r>
      <w:r>
        <w:rPr>
          <w:rFonts w:ascii="Traditional Arabic" w:eastAsia="Traditional Arabic" w:hAnsi="Traditional Arabic" w:cstheme="minorBidi"/>
          <w:sz w:val="32"/>
          <w:szCs w:val="32"/>
          <w:rtl/>
        </w:rPr>
        <w:t xml:space="preserve"> إشارة إلى مسألة حصول المحال على هذه الإجازة. وانتهت المذكرة إلى موافقة السيد رئيس الجهاز على مذكرة ذات الإدارة المؤرخة 23/5/2021 والتي تضمنت في بندها الثاني / </w:t>
      </w:r>
      <w:r>
        <w:rPr>
          <w:rFonts w:ascii="Traditional Arabic" w:eastAsia="Traditional Arabic" w:hAnsi="Traditional Arabic" w:cstheme="minorBidi" w:hint="cs"/>
          <w:sz w:val="32"/>
          <w:szCs w:val="32"/>
          <w:rtl/>
        </w:rPr>
        <w:t>اعتبار</w:t>
      </w:r>
      <w:r>
        <w:rPr>
          <w:rFonts w:ascii="Traditional Arabic" w:eastAsia="Traditional Arabic" w:hAnsi="Traditional Arabic" w:cstheme="minorBidi"/>
          <w:sz w:val="32"/>
          <w:szCs w:val="32"/>
          <w:rtl/>
        </w:rPr>
        <w:t xml:space="preserve"> المذكور – موقوفاً عن العمل بقوة القانون المدة من4 /1/2021 حتى 4/2/2021 لحبسه </w:t>
      </w:r>
      <w:r>
        <w:rPr>
          <w:rFonts w:ascii="Traditional Arabic" w:eastAsia="Traditional Arabic" w:hAnsi="Traditional Arabic" w:cstheme="minorBidi" w:hint="cs"/>
          <w:sz w:val="32"/>
          <w:szCs w:val="32"/>
          <w:rtl/>
        </w:rPr>
        <w:t>احتياطيا</w:t>
      </w:r>
      <w:r>
        <w:rPr>
          <w:rFonts w:ascii="Traditional Arabic" w:eastAsia="Traditional Arabic" w:hAnsi="Traditional Arabic" w:cstheme="minorBidi"/>
          <w:sz w:val="32"/>
          <w:szCs w:val="32"/>
          <w:rtl/>
        </w:rPr>
        <w:t xml:space="preserve"> على ذمة القضية المنوه عنها مع وقف صرف نصف أجره خلال تلك المدة - وانتهت المذكرة إلى إحالة المذكور للنيابة الإدارية عما أسند إليه من </w:t>
      </w:r>
      <w:r>
        <w:rPr>
          <w:rFonts w:ascii="Traditional Arabic" w:eastAsia="Traditional Arabic" w:hAnsi="Traditional Arabic" w:cstheme="minorBidi" w:hint="cs"/>
          <w:sz w:val="32"/>
          <w:szCs w:val="32"/>
          <w:rtl/>
        </w:rPr>
        <w:t>اشتراكه</w:t>
      </w:r>
      <w:r>
        <w:rPr>
          <w:rFonts w:ascii="Traditional Arabic" w:eastAsia="Traditional Arabic" w:hAnsi="Traditional Arabic" w:cstheme="minorBidi"/>
          <w:sz w:val="32"/>
          <w:szCs w:val="32"/>
          <w:rtl/>
        </w:rPr>
        <w:t xml:space="preserve"> مع آخرين يوم - ٢٠١۹/۲/۲6 في </w:t>
      </w:r>
      <w:r>
        <w:rPr>
          <w:rFonts w:ascii="Traditional Arabic" w:eastAsia="Traditional Arabic" w:hAnsi="Traditional Arabic" w:cstheme="minorBidi" w:hint="cs"/>
          <w:sz w:val="32"/>
          <w:szCs w:val="32"/>
          <w:rtl/>
        </w:rPr>
        <w:t>الاعتداء</w:t>
      </w:r>
      <w:r>
        <w:rPr>
          <w:rFonts w:ascii="Traditional Arabic" w:eastAsia="Traditional Arabic" w:hAnsi="Traditional Arabic" w:cstheme="minorBidi"/>
          <w:sz w:val="32"/>
          <w:szCs w:val="32"/>
          <w:rtl/>
        </w:rPr>
        <w:t xml:space="preserve"> على بعض المواطنين وأحداث الإصابات الموصوفه بتقرير الطب الشرعي المعد في هذا الشأن بهم وقيدت الواقعة قضية رقم 4374 لسنة ٢٠١٩ جنح مركز الباجور المقيدة برقم 78 لسنة ٢٠١٩ ج . کلى شبين الكوم والتي صدر فيها الحكم ضده وآخرين بالحبس لمدة سنة واحدة مع إيقاف عقوبة الحبس بما كان من شأنه التقليل من شأن الجهاز والحط من قدره </w:t>
      </w:r>
      <w:r>
        <w:rPr>
          <w:rFonts w:ascii="Traditional Arabic" w:eastAsia="Traditional Arabic" w:hAnsi="Traditional Arabic" w:cstheme="minorBidi" w:hint="cs"/>
          <w:sz w:val="32"/>
          <w:szCs w:val="32"/>
          <w:rtl/>
        </w:rPr>
        <w:t>أمام</w:t>
      </w:r>
      <w:r>
        <w:rPr>
          <w:rFonts w:ascii="Traditional Arabic" w:eastAsia="Traditional Arabic" w:hAnsi="Traditional Arabic" w:cstheme="minorBidi"/>
          <w:sz w:val="32"/>
          <w:szCs w:val="32"/>
          <w:rtl/>
        </w:rPr>
        <w:t xml:space="preserve"> المواطنين وكذلك عدم إخطاره جهة عمله بحبسه </w:t>
      </w:r>
      <w:r>
        <w:rPr>
          <w:rFonts w:ascii="Traditional Arabic" w:eastAsia="Traditional Arabic" w:hAnsi="Traditional Arabic" w:cstheme="minorBidi" w:hint="cs"/>
          <w:sz w:val="32"/>
          <w:szCs w:val="32"/>
          <w:rtl/>
        </w:rPr>
        <w:t>احتياطيا</w:t>
      </w:r>
      <w:r>
        <w:rPr>
          <w:rFonts w:ascii="Traditional Arabic" w:eastAsia="Traditional Arabic" w:hAnsi="Traditional Arabic" w:cstheme="minorBidi"/>
          <w:sz w:val="32"/>
          <w:szCs w:val="32"/>
          <w:rtl/>
        </w:rPr>
        <w:t xml:space="preserve"> خلال الفترة المذكورة ، وقد باشرت النيابة الإدارية تحقيقاتها، وواجهت المحال بما هو منسوب إليه، ومن ثم أحالته إلى المحاكمة التأديبية.</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القضاء الجنائي هو المختص بإثبات أو نفي المسئولية الجنائية عن الأفعال التي تكون جرائم جنائية ومتى قضي في هذه الأفعال بحكم جنائي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الجنائي، ولا يؤثر الطعن أمام محكمة النقض في حجية الحكم الجنائي الصادر في الاستئناف، ذلك أنه في حقيقته حكم نهائي حائز قوة الأمر المقضي به، وقد أدان المحكوم ضده بخطئه، فمن ثم يكون هذا الخطأ سنداً لمجازاته عن المخالفات المنسوبة إليه (المحكمة الإدارية العليا في الطعن رقم 2465 لسنة 30ق.ع بجلسة 17/6/1986، والطعن رقم 7304 لسنة 46ق.ع جلسة 27/5/2006).</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lastRenderedPageBreak/>
        <w:t xml:space="preserve">وأن القضاء الجنائي هو المختص بإثبات أو نفي المسئولية الجنائية عن الأفعال التي تكون الجريمة الجنائية فإذا قضى فيها بحكم نهائي حائز لقوة الأمر المقضي به فلا يسوغ للمحكمة التأديبية وهي بصدد التعرض للشق التأديبي عن ذات الأفعال أن تعاود البحث في ثبوت أو عدم ثبوت هذه الوقائع أو مدى المسئولية عنها رغم وقوعها لأن ذلك يتناقض مع حجية الحكم الجنائي الذي فصل في هذه المسألة بصفة نهائية ويتعين على المحكمة التأديبية أن تتقيد بما ورد بشأنها في الحكم الجنائي.( </w:t>
      </w:r>
      <w:r>
        <w:rPr>
          <w:rFonts w:ascii="Traditional Arabic" w:eastAsia="Traditional Arabic" w:hAnsi="Traditional Arabic" w:cstheme="minorBidi"/>
          <w:sz w:val="32"/>
          <w:szCs w:val="32"/>
          <w:rtl/>
        </w:rPr>
        <w:t>المحكمة الإدارية العليا في الطعن رقم 11709 لسنة 56ق.ع بجلسة 20/2/2021)</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إنه متى كان ما تقدم، ، ولما كان الثابت بالأوراق أنه صدر حكم محكمة جنايات شبين الكوم  بجلسة 4/2/2021 في قضية النيابة العامة رقم (4374) لسنة 2019 مركز الباجور والمقيدة برقم (780) لسنة 2019 كلي  ، بمعاقبة كل من ...........،......, ربيع عبدالسلام عيسوي أحمد بالحبس لمدة سنة واحدة وأمرت بإيقاف الحبس لمدة ثلاث سنوات تبدأ من اليوم والزمتهم المصاريف،</w:t>
      </w:r>
      <w:r>
        <w:rPr>
          <w:rFonts w:ascii="Traditional Arabic" w:eastAsia="Traditional Arabic" w:hAnsi="Traditional Arabic" w:cstheme="minorBidi"/>
          <w:sz w:val="32"/>
          <w:szCs w:val="32"/>
        </w:rPr>
        <w:t xml:space="preserve"> </w:t>
      </w:r>
      <w:r>
        <w:rPr>
          <w:rFonts w:ascii="Traditional Arabic" w:eastAsia="Traditional Arabic" w:hAnsi="Traditional Arabic" w:cstheme="minorBidi"/>
          <w:sz w:val="32"/>
          <w:szCs w:val="32"/>
          <w:rtl/>
        </w:rPr>
        <w:t xml:space="preserve"> وشيدت المحكمة قضاءها على سند من ثبوت ما نُسب إلى المحالين المذكورين من أنهم أحدثوا عمدا بالمجني عليهما </w:t>
      </w:r>
      <w:r>
        <w:rPr>
          <w:rFonts w:ascii="Traditional Arabic" w:eastAsia="Traditional Arabic" w:hAnsi="Traditional Arabic" w:cstheme="minorBidi" w:hint="cs"/>
          <w:sz w:val="32"/>
          <w:szCs w:val="32"/>
          <w:rtl/>
        </w:rPr>
        <w:t>وإصابتهما</w:t>
      </w:r>
      <w:r>
        <w:rPr>
          <w:rFonts w:ascii="Traditional Arabic" w:eastAsia="Traditional Arabic" w:hAnsi="Traditional Arabic" w:cstheme="minorBidi"/>
          <w:sz w:val="32"/>
          <w:szCs w:val="32"/>
          <w:rtl/>
        </w:rPr>
        <w:t xml:space="preserve"> بأن تعدي المتهم الأول عليهما </w:t>
      </w:r>
      <w:r>
        <w:rPr>
          <w:rFonts w:ascii="Traditional Arabic" w:eastAsia="Traditional Arabic" w:hAnsi="Traditional Arabic" w:cstheme="minorBidi" w:hint="cs"/>
          <w:sz w:val="32"/>
          <w:szCs w:val="32"/>
          <w:rtl/>
        </w:rPr>
        <w:t>بإطلاق</w:t>
      </w:r>
      <w:r>
        <w:rPr>
          <w:rFonts w:ascii="Traditional Arabic" w:eastAsia="Traditional Arabic" w:hAnsi="Traditional Arabic" w:cstheme="minorBidi"/>
          <w:sz w:val="32"/>
          <w:szCs w:val="32"/>
          <w:rtl/>
        </w:rPr>
        <w:t xml:space="preserve"> عيار ناري من سلاح ناري (مسدس) بقصد إصابة بسمة أحمد الا انه لم يصيبها وأصاب المجني عليه رضا وحيد ابراهيم والتي نجم عنها </w:t>
      </w:r>
      <w:r>
        <w:rPr>
          <w:rFonts w:ascii="Traditional Arabic" w:eastAsia="Traditional Arabic" w:hAnsi="Traditional Arabic" w:cstheme="minorBidi" w:hint="cs"/>
          <w:sz w:val="32"/>
          <w:szCs w:val="32"/>
          <w:rtl/>
        </w:rPr>
        <w:t>إصابته</w:t>
      </w:r>
      <w:r>
        <w:rPr>
          <w:rFonts w:ascii="Traditional Arabic" w:eastAsia="Traditional Arabic" w:hAnsi="Traditional Arabic" w:cstheme="minorBidi"/>
          <w:sz w:val="32"/>
          <w:szCs w:val="32"/>
          <w:rtl/>
        </w:rPr>
        <w:t xml:space="preserve"> بعاهة مستديمة تقدر نسبتها بحوالي 7% </w:t>
      </w:r>
      <w:r>
        <w:rPr>
          <w:rFonts w:ascii="Traditional Arabic" w:eastAsia="Traditional Arabic" w:hAnsi="Traditional Arabic" w:cstheme="minorBidi" w:hint="cs"/>
          <w:sz w:val="32"/>
          <w:szCs w:val="32"/>
          <w:rtl/>
        </w:rPr>
        <w:t>وإصابة</w:t>
      </w:r>
      <w:r>
        <w:rPr>
          <w:rFonts w:ascii="Traditional Arabic" w:eastAsia="Traditional Arabic" w:hAnsi="Traditional Arabic" w:cstheme="minorBidi"/>
          <w:sz w:val="32"/>
          <w:szCs w:val="32"/>
          <w:rtl/>
        </w:rPr>
        <w:t xml:space="preserve"> المجني عليه  محمد أحمد كمال والموصوفة بتقرير الطب الشرعي والتي اعجزته عن </w:t>
      </w:r>
      <w:r>
        <w:rPr>
          <w:rFonts w:ascii="Traditional Arabic" w:eastAsia="Traditional Arabic" w:hAnsi="Traditional Arabic" w:cstheme="minorBidi" w:hint="cs"/>
          <w:sz w:val="32"/>
          <w:szCs w:val="32"/>
          <w:rtl/>
        </w:rPr>
        <w:t>أشغاله</w:t>
      </w:r>
      <w:r>
        <w:rPr>
          <w:rFonts w:ascii="Traditional Arabic" w:eastAsia="Traditional Arabic" w:hAnsi="Traditional Arabic" w:cstheme="minorBidi"/>
          <w:sz w:val="32"/>
          <w:szCs w:val="32"/>
          <w:rtl/>
        </w:rPr>
        <w:t xml:space="preserve"> الشخصية لمدة عشرين يوما حال تواجد المتهمين الثاني والثالث(المحال) علي مسرح الجريمة للشد من </w:t>
      </w:r>
      <w:r>
        <w:rPr>
          <w:rFonts w:ascii="Traditional Arabic" w:eastAsia="Traditional Arabic" w:hAnsi="Traditional Arabic" w:cstheme="minorBidi" w:hint="cs"/>
          <w:sz w:val="32"/>
          <w:szCs w:val="32"/>
          <w:rtl/>
        </w:rPr>
        <w:t>أزره</w:t>
      </w:r>
      <w:r>
        <w:rPr>
          <w:rFonts w:ascii="Traditional Arabic" w:eastAsia="Traditional Arabic" w:hAnsi="Traditional Arabic" w:cstheme="minorBidi"/>
          <w:sz w:val="32"/>
          <w:szCs w:val="32"/>
          <w:rtl/>
        </w:rPr>
        <w:t xml:space="preserve"> وحملهم أدوات (عصي) علي النحو المبين بالتحقيقات. ونظرا لظروف الواقعة وملابساتها فالمحكمة أخذت المتهمين بقسط من الرأفة فقضت بالحبس لمدة سنة واحدة, ونظرا للظروف الاجتماعية لهم فأمرت بإيقاف عقوبة الحبس, فكان قضاء المحكمة المنوه عنه بما سلف بيانه. ولما كان الثابت بالأوراق والتحقيقات وتقرير الاتهام المودع ملف الدعوى أن الوقائع المنسوبة إلى المحال هي ذات ما صدر  بشأنها حكم محكمة جنايات شبين الكوم في قضية النيابة العامة رقم (4374) لسنة 2019 والمقيدة برقم (780) لسنة 2019 كلي  بإدانته بشأنها، ومنها ما يعد سببا يفضي إلى الاتهامات الثابتة في حقه بالضرورة، مرتبط بها ارتباطا وثيقا يأبى التجزئة، مما لا يجوز معه إعادة بحث مدى ثبوت تلك الوقائع في حقه إعلاء لحجية هذا الحكم الجنائي، دون تعويل على قوله بالطعن بالنقض في هذا الحكم، ذلك أن الأوراق قد خلت مما يفيد صدور حكم من محكمة النقض بوقف تنفيذه، مما لا ينال من حجيته على أي وجه، بحسبان ما استقر عليه قضاء المحكمة الإدارية العليا من الاعتداد بالأحكام الجنائية النهائية الصادرة عن محكمة الجنايات أو محكمة الجنح المستأنفة دون توقف على صيرورتها باتة بحكم من محكمة النقض (المحكمة الإدارية العليا في الطعن رقم 2253 لسنة 29ق.ع بجلسة 31/1/1987، والطعن رقم 3715 لسنة 47ق.ع بجلسة 22/9/2002، والطعن رقم 1316 لسنة 46ق.ع بجلسة 22/3/2003). </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وبناء على ما تقدم، ولما كان المقصود بالإخلال بالواجبات الوظيفية هو مخالفة الموظف أحكام القوانين واللوائح أو التعليمات الإدارية، في حين يُقصد بالإخلال بمقتضيات الوظيفة أن يطأ الموظف مواطن الزلل وتحوم حوله الشبهات بما تضيع معه الثقة التي لابد من توفرها في الموظف العام، فإن كانت المسئولية التأديبية للموظف العام تقوم عما يرتكبه في حياته الخاصة، إلا أن ذلك رهين بأن يمس ويؤثر في حياته الوظيفية وسمعة وكرامة وظيفته، فالأصل أنه ليس كل ما يسلكه الموظف العام خارج نطاق وظيفته يرتب مسئوليته التأديبية ــــــ وإن مَثَّل في حقه مسئولية مدنية ـــــ طالما نأى بمسلكه عن حدود المساس بكرامة وظيفته والنَيل من الاحترام الواجب لها. (المحكمة الإدارية العليا في الطعن رقم 3178لسنة34ق.ع بجلسة 25/7/1992، والطعن رقم 21638لسنة59ق.ع بجلسة 13/12/2014)، وإذ ثبت في حق المحال تلك المخالفة المنسوبة إليه في الدعوى الماثلة بحكم جنائي نهائي، بما ينعكس </w:t>
      </w:r>
      <w:r>
        <w:rPr>
          <w:rFonts w:ascii="Traditional Arabic" w:eastAsia="Traditional Arabic" w:hAnsi="Traditional Arabic" w:cstheme="minorBidi"/>
          <w:sz w:val="32"/>
          <w:szCs w:val="32"/>
          <w:rtl/>
        </w:rPr>
        <w:lastRenderedPageBreak/>
        <w:t>على سمعته وكرامته، إذ مثَّلَت خروجا على ما يتعين توافره في الإنسان من النأي بنفسه عن مواطن الزلل والشبهات ومخالفة القانون, الأمر الذي يتعين معه مجازاته عنها تأديبيا.</w:t>
      </w:r>
    </w:p>
    <w:p w:rsidR="00954078" w:rsidRPr="00954078" w:rsidRDefault="00954078" w:rsidP="00954078">
      <w:pPr>
        <w:pStyle w:val="normal"/>
        <w:spacing w:before="120" w:after="120" w:line="240" w:lineRule="auto"/>
        <w:ind w:hanging="24"/>
        <w:jc w:val="center"/>
        <w:rPr>
          <w:rFonts w:ascii="Traditional Arabic" w:eastAsia="Traditional Arabic" w:hAnsi="Traditional Arabic" w:cstheme="minorBidi"/>
          <w:bCs/>
          <w:sz w:val="32"/>
          <w:szCs w:val="32"/>
          <w:u w:val="single"/>
        </w:rPr>
      </w:pPr>
      <w:r w:rsidRPr="00954078">
        <w:rPr>
          <w:rFonts w:ascii="Traditional Arabic" w:eastAsia="Traditional Arabic" w:hAnsi="Traditional Arabic" w:cstheme="minorBidi"/>
          <w:bCs/>
          <w:sz w:val="32"/>
          <w:szCs w:val="32"/>
          <w:u w:val="single"/>
          <w:rtl/>
        </w:rPr>
        <w:t>فلهذه الأسبـــاب</w:t>
      </w:r>
    </w:p>
    <w:p w:rsidR="00954078" w:rsidRDefault="00954078" w:rsidP="00954078">
      <w:pPr>
        <w:pStyle w:val="normal"/>
        <w:spacing w:before="120" w:after="120" w:line="240" w:lineRule="auto"/>
        <w:ind w:firstLine="567"/>
        <w:jc w:val="lowKashida"/>
        <w:rPr>
          <w:rFonts w:ascii="Traditional Arabic" w:eastAsia="Traditional Arabic" w:hAnsi="Traditional Arabic" w:cstheme="minorBidi"/>
          <w:b/>
          <w:sz w:val="32"/>
          <w:szCs w:val="32"/>
        </w:rPr>
      </w:pPr>
      <w:bookmarkStart w:id="2" w:name="_30j0zll"/>
      <w:bookmarkEnd w:id="2"/>
      <w:r>
        <w:rPr>
          <w:rFonts w:ascii="Traditional Arabic" w:eastAsia="Traditional Arabic" w:hAnsi="Traditional Arabic" w:cstheme="minorBidi"/>
          <w:b/>
          <w:sz w:val="32"/>
          <w:szCs w:val="32"/>
          <w:rtl/>
        </w:rPr>
        <w:t xml:space="preserve">حكمت المحكمة: بمجازاة المحال / ربيع عبدالسلام عيسوي أحمد – بعقوبة اللوم. </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5B" w:rsidRDefault="008F315B">
      <w:r>
        <w:separator/>
      </w:r>
    </w:p>
  </w:endnote>
  <w:endnote w:type="continuationSeparator" w:id="1">
    <w:p w:rsidR="008F315B" w:rsidRDefault="008F3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3D1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3D1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B4825">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5B" w:rsidRDefault="008F315B">
      <w:r>
        <w:separator/>
      </w:r>
    </w:p>
  </w:footnote>
  <w:footnote w:type="continuationSeparator" w:id="1">
    <w:p w:rsidR="008F315B" w:rsidRDefault="008F3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254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254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B4825">
          <w:rPr>
            <w:rFonts w:hint="cs"/>
            <w:sz w:val="28"/>
            <w:szCs w:val="28"/>
            <w:u w:val="single"/>
            <w:rtl/>
            <w:lang w:bidi="ar-EG"/>
          </w:rPr>
          <w:t>في الدعوي رقم 76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D522DE5"/>
    <w:multiLevelType w:val="multilevel"/>
    <w:tmpl w:val="70943DDE"/>
    <w:lvl w:ilvl="0">
      <w:numFmt w:val="bullet"/>
      <w:lvlText w:val="-"/>
      <w:lvlJc w:val="left"/>
      <w:pPr>
        <w:ind w:left="720" w:right="-210" w:hanging="360"/>
      </w:pPr>
      <w:rPr>
        <w:rFonts w:ascii="Traditional Arabic" w:eastAsia="Traditional Arabic" w:hAnsi="Traditional Arabic" w:cs="Traditional Arabic"/>
      </w:rPr>
    </w:lvl>
    <w:lvl w:ilvl="1">
      <w:start w:val="1"/>
      <w:numFmt w:val="bullet"/>
      <w:lvlText w:val="o"/>
      <w:lvlJc w:val="left"/>
      <w:pPr>
        <w:ind w:left="1440" w:right="510" w:hanging="360"/>
      </w:pPr>
      <w:rPr>
        <w:rFonts w:ascii="Courier New" w:eastAsia="Courier New" w:hAnsi="Courier New" w:cs="Courier New"/>
      </w:rPr>
    </w:lvl>
    <w:lvl w:ilvl="2">
      <w:start w:val="1"/>
      <w:numFmt w:val="bullet"/>
      <w:lvlText w:val="▪"/>
      <w:lvlJc w:val="left"/>
      <w:pPr>
        <w:ind w:left="2160" w:right="1230" w:hanging="360"/>
      </w:pPr>
      <w:rPr>
        <w:rFonts w:ascii="Noto Sans Symbols" w:eastAsia="Noto Sans Symbols" w:hAnsi="Noto Sans Symbols" w:cs="Noto Sans Symbols"/>
      </w:rPr>
    </w:lvl>
    <w:lvl w:ilvl="3">
      <w:start w:val="1"/>
      <w:numFmt w:val="bullet"/>
      <w:lvlText w:val="●"/>
      <w:lvlJc w:val="left"/>
      <w:pPr>
        <w:ind w:left="2880" w:right="1950" w:hanging="360"/>
      </w:pPr>
      <w:rPr>
        <w:rFonts w:ascii="Noto Sans Symbols" w:eastAsia="Noto Sans Symbols" w:hAnsi="Noto Sans Symbols" w:cs="Noto Sans Symbols"/>
      </w:rPr>
    </w:lvl>
    <w:lvl w:ilvl="4">
      <w:start w:val="1"/>
      <w:numFmt w:val="bullet"/>
      <w:lvlText w:val="o"/>
      <w:lvlJc w:val="left"/>
      <w:pPr>
        <w:ind w:left="3600" w:right="2670" w:hanging="360"/>
      </w:pPr>
      <w:rPr>
        <w:rFonts w:ascii="Courier New" w:eastAsia="Courier New" w:hAnsi="Courier New" w:cs="Courier New"/>
      </w:rPr>
    </w:lvl>
    <w:lvl w:ilvl="5">
      <w:start w:val="1"/>
      <w:numFmt w:val="bullet"/>
      <w:lvlText w:val="▪"/>
      <w:lvlJc w:val="left"/>
      <w:pPr>
        <w:ind w:left="4320" w:right="3390" w:hanging="360"/>
      </w:pPr>
      <w:rPr>
        <w:rFonts w:ascii="Noto Sans Symbols" w:eastAsia="Noto Sans Symbols" w:hAnsi="Noto Sans Symbols" w:cs="Noto Sans Symbols"/>
      </w:rPr>
    </w:lvl>
    <w:lvl w:ilvl="6">
      <w:start w:val="1"/>
      <w:numFmt w:val="bullet"/>
      <w:lvlText w:val="●"/>
      <w:lvlJc w:val="left"/>
      <w:pPr>
        <w:ind w:left="5040" w:right="4110" w:hanging="360"/>
      </w:pPr>
      <w:rPr>
        <w:rFonts w:ascii="Noto Sans Symbols" w:eastAsia="Noto Sans Symbols" w:hAnsi="Noto Sans Symbols" w:cs="Noto Sans Symbols"/>
      </w:rPr>
    </w:lvl>
    <w:lvl w:ilvl="7">
      <w:start w:val="1"/>
      <w:numFmt w:val="bullet"/>
      <w:lvlText w:val="o"/>
      <w:lvlJc w:val="left"/>
      <w:pPr>
        <w:ind w:left="5760" w:right="4830" w:hanging="360"/>
      </w:pPr>
      <w:rPr>
        <w:rFonts w:ascii="Courier New" w:eastAsia="Courier New" w:hAnsi="Courier New" w:cs="Courier New"/>
      </w:rPr>
    </w:lvl>
    <w:lvl w:ilvl="8">
      <w:start w:val="1"/>
      <w:numFmt w:val="bullet"/>
      <w:lvlText w:val="▪"/>
      <w:lvlJc w:val="left"/>
      <w:pPr>
        <w:ind w:left="6480" w:right="5550" w:hanging="360"/>
      </w:pPr>
      <w:rPr>
        <w:rFonts w:ascii="Noto Sans Symbols" w:eastAsia="Noto Sans Symbols" w:hAnsi="Noto Sans Symbols" w:cs="Noto Sans Symbols"/>
      </w:r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2"/>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14"/>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AC2"/>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15B"/>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7BB"/>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078"/>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6FC2"/>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17B19"/>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825"/>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paragraph" w:customStyle="1" w:styleId="normal">
    <w:name w:val="normal"/>
    <w:rsid w:val="00954078"/>
    <w:pPr>
      <w:bidi/>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18803890">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0B37"/>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6246A"/>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1385</Words>
  <Characters>7897</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2022-03-05T23:08:00Z</dcterms:modified>
  <cp:contentStatus>في الدعوي رقم 76 لسنة 64 ق.</cp:contentStatus>
</cp:coreProperties>
</file>