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A08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A08D9">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A08D9">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190BDA">
          <w:pPr>
            <w:bidi/>
            <w:jc w:val="center"/>
            <w:rPr>
              <w:rFonts w:ascii="Arial" w:hAnsi="Arial" w:cs="Arial"/>
              <w:sz w:val="32"/>
              <w:szCs w:val="32"/>
              <w:rtl/>
            </w:rPr>
          </w:pPr>
          <w:r>
            <w:rPr>
              <w:rFonts w:ascii="Arial" w:hAnsi="Arial" w:cs="Arial" w:hint="cs"/>
              <w:sz w:val="32"/>
              <w:szCs w:val="32"/>
              <w:rtl/>
              <w:lang w:bidi="ar-EG"/>
            </w:rPr>
            <w:t xml:space="preserve">في الطعن رقم </w:t>
          </w:r>
          <w:r w:rsidR="0078290F">
            <w:rPr>
              <w:rFonts w:ascii="Arial" w:hAnsi="Arial" w:cs="Arial" w:hint="cs"/>
              <w:sz w:val="32"/>
              <w:szCs w:val="32"/>
              <w:rtl/>
              <w:lang w:bidi="ar-EG"/>
            </w:rPr>
            <w:t>139</w:t>
          </w:r>
          <w:r>
            <w:rPr>
              <w:rFonts w:ascii="Arial" w:hAnsi="Arial" w:cs="Arial" w:hint="cs"/>
              <w:sz w:val="32"/>
              <w:szCs w:val="32"/>
              <w:rtl/>
              <w:lang w:bidi="ar-EG"/>
            </w:rPr>
            <w:t xml:space="preserve"> لسنة </w:t>
          </w:r>
          <w:r w:rsidR="00190BDA">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78290F" w:rsidRPr="0078290F" w:rsidRDefault="0078290F" w:rsidP="0078290F">
      <w:pPr>
        <w:bidi/>
        <w:jc w:val="center"/>
        <w:outlineLvl w:val="0"/>
        <w:rPr>
          <w:rFonts w:asciiTheme="minorBidi" w:hAnsiTheme="minorBidi"/>
          <w:b/>
          <w:bCs/>
          <w:sz w:val="32"/>
          <w:szCs w:val="32"/>
          <w:rtl/>
          <w:lang w:bidi="ar-EG"/>
        </w:rPr>
      </w:pPr>
      <w:r w:rsidRPr="0078290F">
        <w:rPr>
          <w:rFonts w:asciiTheme="minorBidi" w:hAnsiTheme="minorBidi"/>
          <w:b/>
          <w:bCs/>
          <w:sz w:val="32"/>
          <w:szCs w:val="32"/>
          <w:rtl/>
          <w:lang w:bidi="ar-EG"/>
        </w:rPr>
        <w:t>المقام من:</w:t>
      </w:r>
    </w:p>
    <w:p w:rsidR="0078290F" w:rsidRDefault="0078290F" w:rsidP="0078290F">
      <w:pPr>
        <w:bidi/>
        <w:jc w:val="center"/>
        <w:outlineLvl w:val="0"/>
        <w:rPr>
          <w:rFonts w:asciiTheme="minorBidi" w:hAnsiTheme="minorBidi"/>
          <w:sz w:val="32"/>
          <w:szCs w:val="32"/>
          <w:lang w:bidi="ar-EG"/>
        </w:rPr>
      </w:pPr>
      <w:r>
        <w:rPr>
          <w:rFonts w:asciiTheme="minorBidi" w:hAnsiTheme="minorBidi"/>
          <w:sz w:val="32"/>
          <w:szCs w:val="32"/>
          <w:rtl/>
          <w:lang w:bidi="ar-EG"/>
        </w:rPr>
        <w:t>سعاد حسن عبد العزيز.</w:t>
      </w:r>
    </w:p>
    <w:p w:rsidR="0078290F" w:rsidRPr="000C6292" w:rsidRDefault="0078290F" w:rsidP="0078290F">
      <w:pPr>
        <w:bidi/>
        <w:jc w:val="center"/>
        <w:outlineLvl w:val="0"/>
        <w:rPr>
          <w:rFonts w:asciiTheme="minorBidi" w:hAnsiTheme="minorBidi"/>
          <w:b/>
          <w:bCs/>
          <w:sz w:val="32"/>
          <w:szCs w:val="32"/>
          <w:rtl/>
        </w:rPr>
      </w:pPr>
      <w:r w:rsidRPr="000C6292">
        <w:rPr>
          <w:rFonts w:asciiTheme="minorBidi" w:hAnsiTheme="minorBidi"/>
          <w:b/>
          <w:bCs/>
          <w:sz w:val="32"/>
          <w:szCs w:val="32"/>
          <w:rtl/>
          <w:lang w:bidi="ar-EG"/>
        </w:rPr>
        <w:t>ضــــــــــــــد</w:t>
      </w:r>
      <w:r w:rsidRPr="000C6292">
        <w:rPr>
          <w:rFonts w:asciiTheme="minorBidi" w:hAnsiTheme="minorBidi"/>
          <w:b/>
          <w:bCs/>
          <w:sz w:val="32"/>
          <w:szCs w:val="32"/>
          <w:rtl/>
        </w:rPr>
        <w:t>:</w:t>
      </w:r>
    </w:p>
    <w:p w:rsidR="0078290F" w:rsidRDefault="0078290F" w:rsidP="0078290F">
      <w:pPr>
        <w:bidi/>
        <w:jc w:val="center"/>
        <w:outlineLvl w:val="0"/>
        <w:rPr>
          <w:rFonts w:asciiTheme="minorBidi" w:hAnsiTheme="minorBidi"/>
          <w:sz w:val="32"/>
          <w:szCs w:val="32"/>
          <w:rtl/>
        </w:rPr>
      </w:pPr>
      <w:r>
        <w:rPr>
          <w:rFonts w:asciiTheme="minorBidi" w:hAnsiTheme="minorBidi"/>
          <w:sz w:val="32"/>
          <w:szCs w:val="32"/>
          <w:rtl/>
        </w:rPr>
        <w:t>رئيس مجلس إدارة الهيئة العامة لتنمية الثروة السمكية، بصفته.</w:t>
      </w:r>
    </w:p>
    <w:p w:rsidR="0078290F" w:rsidRDefault="0078290F" w:rsidP="0078290F">
      <w:pPr>
        <w:bidi/>
        <w:jc w:val="center"/>
        <w:outlineLvl w:val="0"/>
        <w:rPr>
          <w:rFonts w:asciiTheme="minorBidi" w:hAnsiTheme="minorBidi"/>
          <w:sz w:val="32"/>
          <w:szCs w:val="32"/>
          <w:rtl/>
        </w:rPr>
      </w:pPr>
    </w:p>
    <w:p w:rsidR="0078290F" w:rsidRPr="0078290F" w:rsidRDefault="0078290F" w:rsidP="0078290F">
      <w:pPr>
        <w:overflowPunct w:val="0"/>
        <w:autoSpaceDE w:val="0"/>
        <w:autoSpaceDN w:val="0"/>
        <w:bidi/>
        <w:adjustRightInd w:val="0"/>
        <w:ind w:hanging="24"/>
        <w:textAlignment w:val="baseline"/>
        <w:rPr>
          <w:rFonts w:asciiTheme="minorBidi" w:hAnsiTheme="minorBidi"/>
          <w:b/>
          <w:bCs/>
          <w:sz w:val="32"/>
          <w:szCs w:val="32"/>
          <w:rtl/>
        </w:rPr>
      </w:pPr>
      <w:r w:rsidRPr="0078290F">
        <w:rPr>
          <w:rFonts w:asciiTheme="minorBidi" w:hAnsiTheme="minorBidi"/>
          <w:b/>
          <w:bCs/>
          <w:sz w:val="32"/>
          <w:szCs w:val="32"/>
          <w:u w:val="single"/>
          <w:rtl/>
        </w:rPr>
        <w:t>الوقائع</w:t>
      </w:r>
    </w:p>
    <w:p w:rsidR="0078290F" w:rsidRDefault="0078290F" w:rsidP="000C6292">
      <w:pPr>
        <w:pStyle w:val="aa"/>
        <w:ind w:firstLine="543"/>
        <w:jc w:val="both"/>
        <w:rPr>
          <w:rFonts w:asciiTheme="minorBidi" w:hAnsiTheme="minorBidi"/>
          <w:sz w:val="32"/>
          <w:szCs w:val="32"/>
          <w:rtl/>
        </w:rPr>
      </w:pPr>
      <w:r>
        <w:rPr>
          <w:rFonts w:asciiTheme="minorBidi" w:hAnsiTheme="minorBidi"/>
          <w:sz w:val="32"/>
          <w:szCs w:val="32"/>
          <w:rtl/>
        </w:rPr>
        <w:t>أقامت الطاعنة طعنها الماثل بإيداع صحيفته قلم كتاب هذه المحكمة بتاريخ 25/7/2021 تطلب في ختامها الحكم بقبول الطعن شكلا، وبوقف تنفيذ وإلغاء القرار المطعون فيه رقم (469) لسنة 2021 الصادر بتاريخ 28/4/2021 المعلن إليها بتاريخ 24/5/2021، مع ما يترتب على ذلك من آثار وإلزام الهيئة المطعون ضدها المصروفات.</w:t>
      </w:r>
    </w:p>
    <w:p w:rsidR="0078290F" w:rsidRDefault="0078290F" w:rsidP="000C6292">
      <w:pPr>
        <w:pStyle w:val="aa"/>
        <w:ind w:firstLine="543"/>
        <w:jc w:val="both"/>
        <w:rPr>
          <w:rFonts w:asciiTheme="minorBidi" w:hAnsiTheme="minorBidi"/>
          <w:sz w:val="32"/>
          <w:szCs w:val="32"/>
        </w:rPr>
      </w:pPr>
    </w:p>
    <w:p w:rsidR="0078290F" w:rsidRDefault="0078290F" w:rsidP="000C6292">
      <w:pPr>
        <w:bidi/>
        <w:ind w:firstLine="543"/>
        <w:jc w:val="both"/>
        <w:rPr>
          <w:rFonts w:asciiTheme="minorBidi" w:hAnsiTheme="minorBidi"/>
          <w:sz w:val="32"/>
          <w:szCs w:val="32"/>
          <w:lang w:bidi="ar-EG"/>
        </w:rPr>
      </w:pPr>
      <w:r>
        <w:rPr>
          <w:rFonts w:asciiTheme="minorBidi" w:hAnsiTheme="minorBidi"/>
          <w:sz w:val="32"/>
          <w:szCs w:val="32"/>
          <w:rtl/>
          <w:lang w:bidi="ar-EG"/>
        </w:rPr>
        <w:t>وذكرت الطاعنة شرحا لطعنها، أنها تشغل بالهيئة المطعون ضدها وظيفة مدير عام بالإدارة العامة للشئون التجارية سابقا، وحاليا تشغل وظيفة مدير إدارة التخطيط بالهيئة العامة لتنمية الثروة السمكية، وقد صدر قرار رئيس الهيئة رقم (469) لسنة 2021 بمجازاتها بالإنذار بناء على قرار لجنة التأديب بالنيابة الإدارية رقم (52) لسنة 2021 في تحقيقاتها بالقضية رقم (432) لسنة 2020، وإذ نعت الطاعنة على القرار المطعون فيه مخالفته القانون لصدوره من غير جهة اختصاص وبناء على تحقيقات باطلة، فقد أقامت طعنها الماثل بطلباتها آنفة البيان.</w:t>
      </w:r>
    </w:p>
    <w:p w:rsidR="0078290F" w:rsidRDefault="0078290F" w:rsidP="000C6292">
      <w:pPr>
        <w:bidi/>
        <w:ind w:firstLine="543"/>
        <w:jc w:val="both"/>
        <w:rPr>
          <w:rFonts w:asciiTheme="minorBidi" w:hAnsiTheme="minorBidi"/>
          <w:sz w:val="32"/>
          <w:szCs w:val="32"/>
          <w:rtl/>
          <w:lang w:bidi="ar-EG"/>
        </w:rPr>
      </w:pPr>
    </w:p>
    <w:p w:rsidR="0078290F" w:rsidRDefault="0078290F" w:rsidP="000C6292">
      <w:pPr>
        <w:bidi/>
        <w:ind w:firstLine="543"/>
        <w:jc w:val="both"/>
        <w:rPr>
          <w:rFonts w:asciiTheme="minorBidi" w:hAnsiTheme="minorBidi"/>
          <w:sz w:val="32"/>
          <w:szCs w:val="32"/>
          <w:rtl/>
          <w:lang w:bidi="ar-EG"/>
        </w:rPr>
      </w:pPr>
      <w:bookmarkStart w:id="0" w:name="_Hlk72159217"/>
      <w:r>
        <w:rPr>
          <w:rFonts w:asciiTheme="minorBidi" w:hAnsiTheme="minorBidi"/>
          <w:sz w:val="32"/>
          <w:szCs w:val="32"/>
          <w:rtl/>
          <w:lang w:bidi="ar-EG"/>
        </w:rPr>
        <w:t xml:space="preserve">وتحددت لنظر الطعن أمام هذه المحكمة جلسة 25/8/2021، وبها قدم الحاضر عن الطاعنة حافظة مستندات طويت على المدون بغلافها، وقدم بجلسة 22/9/2021 صحيفة معلنة بأصل صحيفة الطعن، كما قدم بجلسة 24/11/2021 صحيفة معلنة أخرى بأصل صحيفة الطعن وحافظة مستندات طويت على المدون بغلافها، ومذكرة دفاع تضمنت إضافة طلب إلزام الهيئة المطعون ضدها بتعويض الطاعنة عن الأضرار المادية والأدبية التي أصابتها جراء القرار المطعون فيه وانتهت إلى التصميم على ما سلف بيانه من طلبات،   وبذات الجلسة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bookmarkEnd w:id="0"/>
    </w:p>
    <w:p w:rsidR="0078290F" w:rsidRPr="00C624A4" w:rsidRDefault="0078290F" w:rsidP="000C6292">
      <w:pPr>
        <w:bidi/>
        <w:ind w:firstLine="543"/>
        <w:jc w:val="center"/>
        <w:outlineLvl w:val="0"/>
        <w:rPr>
          <w:rFonts w:asciiTheme="minorBidi" w:hAnsiTheme="minorBidi"/>
          <w:b/>
          <w:bCs/>
          <w:sz w:val="32"/>
          <w:szCs w:val="32"/>
          <w:u w:val="single"/>
          <w:rtl/>
        </w:rPr>
      </w:pPr>
      <w:r w:rsidRPr="00C624A4">
        <w:rPr>
          <w:rFonts w:asciiTheme="minorBidi" w:hAnsiTheme="minorBidi"/>
          <w:b/>
          <w:bCs/>
          <w:sz w:val="32"/>
          <w:szCs w:val="32"/>
          <w:u w:val="single"/>
          <w:rtl/>
        </w:rPr>
        <w:t>المحكمة</w:t>
      </w:r>
    </w:p>
    <w:p w:rsidR="0078290F" w:rsidRDefault="0078290F" w:rsidP="000C6292">
      <w:pPr>
        <w:bidi/>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78290F" w:rsidRDefault="0078290F" w:rsidP="000C6292">
      <w:pPr>
        <w:bidi/>
        <w:ind w:firstLine="543"/>
        <w:jc w:val="both"/>
        <w:rPr>
          <w:rFonts w:asciiTheme="minorBidi" w:hAnsiTheme="minorBidi"/>
          <w:sz w:val="32"/>
          <w:szCs w:val="32"/>
          <w:rtl/>
        </w:rPr>
      </w:pPr>
    </w:p>
    <w:p w:rsidR="0078290F" w:rsidRDefault="0078290F" w:rsidP="000C6292">
      <w:pPr>
        <w:pStyle w:val="aa"/>
        <w:ind w:firstLine="543"/>
        <w:jc w:val="both"/>
        <w:rPr>
          <w:rFonts w:asciiTheme="minorBidi" w:hAnsiTheme="minorBidi"/>
          <w:sz w:val="32"/>
          <w:szCs w:val="32"/>
          <w:u w:val="single"/>
          <w:rtl/>
        </w:rPr>
      </w:pPr>
      <w:r>
        <w:rPr>
          <w:rFonts w:asciiTheme="minorBidi" w:hAnsiTheme="minorBidi"/>
          <w:sz w:val="32"/>
          <w:szCs w:val="32"/>
          <w:rtl/>
        </w:rPr>
        <w:lastRenderedPageBreak/>
        <w:t xml:space="preserve">      ومن حيث إن الطاعنة تطلب الحكم بقبول الطعن شكلاً وفى الموضوع أولا: ببطلان قرار لجنة التأديب بالنيابة </w:t>
      </w:r>
      <w:r w:rsidR="00C624A4">
        <w:rPr>
          <w:rFonts w:asciiTheme="minorBidi" w:hAnsiTheme="minorBidi" w:hint="cs"/>
          <w:sz w:val="32"/>
          <w:szCs w:val="32"/>
          <w:rtl/>
        </w:rPr>
        <w:t>الإدارية</w:t>
      </w:r>
      <w:r>
        <w:rPr>
          <w:rFonts w:asciiTheme="minorBidi" w:hAnsiTheme="minorBidi"/>
          <w:sz w:val="32"/>
          <w:szCs w:val="32"/>
          <w:rtl/>
        </w:rPr>
        <w:t xml:space="preserve"> رقم (52) لسنة 2021 الصادر بتاريخ 1/3/2021 فيما تضمنه من مجازاتها بعقوبة الإنذار، وببطلان قرار جهة الإدارة محل عملها رقم (469) لسنة 2021 الصادر تنفيذا له بتاريخ 28/4/2021، مع ما يترتب على ذلك من آثار، وثانيا: بإلزام الهيئة المطعون ضدها بأن تؤدي لها التعويض المناسب جبرا للأضرار المادية والأدبية التي حاقت بها جراء القرار الطعين.</w:t>
      </w:r>
    </w:p>
    <w:p w:rsidR="0078290F" w:rsidRDefault="0078290F" w:rsidP="000C6292">
      <w:pPr>
        <w:bidi/>
        <w:ind w:firstLine="543"/>
        <w:jc w:val="both"/>
        <w:rPr>
          <w:rFonts w:asciiTheme="minorBidi" w:hAnsiTheme="minorBidi"/>
          <w:sz w:val="32"/>
          <w:szCs w:val="32"/>
          <w:rtl/>
        </w:rPr>
      </w:pPr>
    </w:p>
    <w:p w:rsidR="0078290F" w:rsidRDefault="0078290F" w:rsidP="000C6292">
      <w:pPr>
        <w:tabs>
          <w:tab w:val="left" w:pos="518"/>
        </w:tabs>
        <w:bidi/>
        <w:ind w:firstLine="543"/>
        <w:jc w:val="both"/>
        <w:rPr>
          <w:rFonts w:asciiTheme="minorBidi" w:hAnsiTheme="minorBidi"/>
          <w:sz w:val="32"/>
          <w:szCs w:val="32"/>
          <w:rtl/>
        </w:rPr>
      </w:pPr>
      <w:r>
        <w:rPr>
          <w:rFonts w:asciiTheme="minorBidi" w:hAnsiTheme="minorBidi"/>
          <w:sz w:val="32"/>
          <w:szCs w:val="32"/>
          <w:rtl/>
        </w:rPr>
        <w:t>ومن حيث إنه بشأن شكل طلب الإلغاء، فإن الفصل فيه لن يتحدد إلا في ضوء ما تنتهي إليه المحكمة في موضوعه، لذا فإن المحكمة ترجئ الفصل فيه إلى ما بعد بحث موضوع الطلب.</w:t>
      </w:r>
    </w:p>
    <w:p w:rsidR="00C624A4" w:rsidRDefault="00C624A4" w:rsidP="000C6292">
      <w:pPr>
        <w:tabs>
          <w:tab w:val="left" w:pos="518"/>
        </w:tabs>
        <w:bidi/>
        <w:ind w:firstLine="543"/>
        <w:jc w:val="both"/>
        <w:rPr>
          <w:rFonts w:asciiTheme="minorBidi" w:hAnsiTheme="minorBidi"/>
          <w:sz w:val="32"/>
          <w:szCs w:val="32"/>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(101) منه على أن "يتولى مجلس النواب سلطة التشريع، .........وذلك كله على النحو المبين في الدستور".</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(156) منه على أنه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وتنص المادة (227) منه على أن "يشكل الدستور بديباجته وجميع نصوصه نسيجا مترابطاً، وكلاً لا يتجزأ، وتتكامل أحكامه في وحدة عضوية متماسكة".</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 ".</w:t>
      </w:r>
    </w:p>
    <w:p w:rsidR="0078290F" w:rsidRDefault="0078290F"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C624A4" w:rsidRDefault="00C624A4"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(14) منه على أنه " إذا رأت النيابة الإدارية أن المخالفة تستوجب جزاءً أشد مما تملكه الجهة لإدارية أحالت النيابة الإدارية الأوراق إلى المحكمة التأديبية المختصة مع إخطار الجهة التي يتبعها العامل بالإحالة ".</w:t>
      </w:r>
    </w:p>
    <w:p w:rsidR="00C624A4" w:rsidRDefault="00C624A4" w:rsidP="000C6292">
      <w:pPr>
        <w:tabs>
          <w:tab w:val="left" w:pos="10432"/>
        </w:tabs>
        <w:bidi/>
        <w:ind w:firstLine="543"/>
        <w:jc w:val="both"/>
        <w:rPr>
          <w:rFonts w:asciiTheme="minorBidi" w:hAnsiTheme="minorBidi"/>
          <w:sz w:val="32"/>
          <w:szCs w:val="32"/>
          <w:shd w:val="clear" w:color="auto" w:fill="FFFFFF"/>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w:t>
      </w:r>
      <w:r>
        <w:rPr>
          <w:rFonts w:asciiTheme="minorBidi" w:hAnsiTheme="minorBidi"/>
          <w:sz w:val="32"/>
          <w:szCs w:val="32"/>
          <w:shd w:val="clear" w:color="auto" w:fill="FFFFFF"/>
          <w:rtl/>
        </w:rPr>
        <w:lastRenderedPageBreak/>
        <w:t>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78290F" w:rsidRDefault="0078290F" w:rsidP="000C6292">
      <w:pPr>
        <w:tabs>
          <w:tab w:val="left" w:pos="10432"/>
        </w:tabs>
        <w:bidi/>
        <w:ind w:firstLine="543"/>
        <w:jc w:val="both"/>
        <w:rPr>
          <w:rFonts w:asciiTheme="minorBidi" w:hAnsiTheme="minorBidi"/>
          <w:sz w:val="32"/>
          <w:szCs w:val="32"/>
          <w:rtl/>
        </w:rPr>
      </w:pPr>
      <w:r>
        <w:rPr>
          <w:rFonts w:asciiTheme="minorBidi" w:hAnsiTheme="minorBidi"/>
          <w:sz w:val="32"/>
          <w:szCs w:val="32"/>
          <w:rtl/>
        </w:rPr>
        <w:t>ومن حيث إن قرار مجلس النواب رقم (1) لسنة 2016 بعدم إقرار القرار بقانون رقم 18 لسنة 2015 بإصدار قانون الخدمة المدنية واعتماد نفاذه حتى 20/1/2016 نص ف</w:t>
      </w:r>
      <w:r>
        <w:rPr>
          <w:rFonts w:asciiTheme="minorBidi" w:hAnsiTheme="minorBidi"/>
          <w:sz w:val="32"/>
          <w:szCs w:val="32"/>
          <w:rtl/>
          <w:lang w:bidi="ar-EG"/>
        </w:rPr>
        <w:t>ي</w:t>
      </w:r>
      <w:r>
        <w:rPr>
          <w:rFonts w:asciiTheme="minorBidi" w:hAnsiTheme="minorBidi"/>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0C6292" w:rsidRDefault="000C6292" w:rsidP="000C6292">
      <w:pPr>
        <w:tabs>
          <w:tab w:val="left" w:pos="10432"/>
        </w:tabs>
        <w:bidi/>
        <w:ind w:firstLine="543"/>
        <w:jc w:val="both"/>
        <w:rPr>
          <w:rFonts w:asciiTheme="minorBidi" w:hAnsiTheme="minorBidi"/>
          <w:sz w:val="32"/>
          <w:szCs w:val="32"/>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Pr>
          <w:rFonts w:asciiTheme="minorBidi" w:hAnsiTheme="minorBidi"/>
          <w:sz w:val="32"/>
          <w:szCs w:val="32"/>
          <w:shd w:val="clear" w:color="auto" w:fill="FFFFFF"/>
          <w:rtl/>
        </w:rPr>
        <w:t xml:space="preserve"> </w:t>
      </w:r>
      <w:r>
        <w:rPr>
          <w:rFonts w:asciiTheme="minorBidi" w:hAnsi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Pr>
          <w:rFonts w:asciiTheme="minorBidi" w:hAnsiTheme="minorBidi"/>
          <w:sz w:val="32"/>
          <w:szCs w:val="32"/>
          <w:shd w:val="clear" w:color="auto" w:fill="FFFFFF"/>
          <w:rtl/>
        </w:rPr>
        <w:t xml:space="preserve"> </w:t>
      </w:r>
      <w:r>
        <w:rPr>
          <w:rFonts w:asciiTheme="minorBidi" w:hAnsiTheme="minorBidi"/>
          <w:sz w:val="32"/>
          <w:szCs w:val="32"/>
          <w:rtl/>
        </w:rPr>
        <w:t>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w:t>
      </w:r>
      <w:r>
        <w:rPr>
          <w:rFonts w:asciiTheme="minorBidi" w:hAnsiTheme="minorBidi"/>
          <w:sz w:val="32"/>
          <w:szCs w:val="32"/>
          <w:shd w:val="clear" w:color="auto" w:fill="FFFFFF"/>
          <w:rtl/>
        </w:rPr>
        <w:lastRenderedPageBreak/>
        <w:t>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rtl/>
        </w:rPr>
      </w:pPr>
      <w:r>
        <w:rPr>
          <w:rFonts w:asciiTheme="minorBidi" w:hAnsiTheme="minorBidi"/>
          <w:sz w:val="32"/>
          <w:szCs w:val="32"/>
          <w:shd w:val="clear" w:color="auto" w:fill="FFFFFF"/>
          <w:rtl/>
        </w:rPr>
        <w:t xml:space="preserve">ومن حيث إن </w:t>
      </w:r>
      <w:r>
        <w:rPr>
          <w:rStyle w:val="uficommentbody"/>
          <w:rFonts w:asciiTheme="minorBidi" w:hAnsiTheme="minorBidi"/>
          <w:sz w:val="32"/>
          <w:szCs w:val="32"/>
          <w:rtl/>
        </w:rPr>
        <w:t xml:space="preserve">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الادارية سلطة توقيع الجزاءات التأديبية اذ يتبين بما يدع مجالا للشك أنها تدخل ضمن طائفة النصوص الدستورية التي لا تنفذ بذاتها لأنه قد خول هيئة النيابة الادارية سلطة توقيع الجزاءات التأديبية عن المخالفات المالية والادارية وتلك التي تحال إليها وتختص بالتحقيق فيها، إلا </w:t>
      </w:r>
      <w:r>
        <w:rPr>
          <w:rStyle w:val="uficommentbody"/>
          <w:rFonts w:asciiTheme="minorBidi" w:hAnsiTheme="minorBidi"/>
          <w:sz w:val="32"/>
          <w:szCs w:val="32"/>
          <w:rtl/>
        </w:rPr>
        <w:lastRenderedPageBreak/>
        <w:t>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w:t>
      </w:r>
      <w:r>
        <w:rPr>
          <w:rFonts w:asciiTheme="minorBidi" w:hAnsiTheme="minorBidi"/>
          <w:sz w:val="32"/>
          <w:szCs w:val="32"/>
          <w:rtl/>
        </w:rPr>
        <w:t xml:space="preserve">. </w:t>
      </w:r>
    </w:p>
    <w:p w:rsidR="000C6292" w:rsidRDefault="000C6292" w:rsidP="000C6292">
      <w:pPr>
        <w:tabs>
          <w:tab w:val="left" w:pos="10432"/>
        </w:tabs>
        <w:bidi/>
        <w:ind w:firstLine="543"/>
        <w:jc w:val="both"/>
        <w:rPr>
          <w:rFonts w:asciiTheme="minorBidi" w:hAnsiTheme="minorBidi"/>
          <w:sz w:val="32"/>
          <w:szCs w:val="32"/>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Style w:val="uficommentbody"/>
          <w:rFonts w:asciiTheme="minorBidi" w:hAnsiTheme="minorBidi"/>
          <w:sz w:val="32"/>
          <w:szCs w:val="32"/>
          <w:rtl/>
        </w:rPr>
        <w:t>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احكامه،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الادارية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w:t>
      </w:r>
      <w:r>
        <w:rPr>
          <w:rFonts w:asciiTheme="minorBidi" w:hAnsiTheme="minorBidi"/>
          <w:sz w:val="32"/>
          <w:szCs w:val="32"/>
          <w:rtl/>
        </w:rPr>
        <w:t xml:space="preserve"> </w:t>
      </w:r>
      <w:r>
        <w:rPr>
          <w:rStyle w:val="uficommentbody"/>
          <w:rFonts w:asciiTheme="minorBidi" w:hAnsiTheme="minorBidi"/>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Pr>
          <w:rFonts w:asciiTheme="minorBidi" w:hAnsiTheme="minorBidi"/>
          <w:sz w:val="32"/>
          <w:szCs w:val="32"/>
          <w:rtl/>
        </w:rPr>
        <w:t xml:space="preserve"> </w:t>
      </w:r>
      <w:r>
        <w:rPr>
          <w:rStyle w:val="uficommentbody"/>
          <w:rFonts w:asciiTheme="minorBidi" w:hAnsiTheme="minorBidi"/>
          <w:sz w:val="32"/>
          <w:szCs w:val="32"/>
          <w:rtl/>
        </w:rPr>
        <w:t>ولا يغير من هذه النتيجة ما نصت عليه المادة (60)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الادارية العليا - دائرة فحص الطعون - الدائرة الرابعة في الطعن رقم 5893 لسنة 63 ق. ع بجلسة 21/4/ 2018</w:t>
      </w:r>
      <w:r>
        <w:rPr>
          <w:rFonts w:asciiTheme="minorBidi" w:hAnsiTheme="minorBidi"/>
          <w:sz w:val="32"/>
          <w:szCs w:val="32"/>
          <w:rtl/>
        </w:rPr>
        <w:t>).</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pStyle w:val="ab"/>
        <w:bidi/>
        <w:spacing w:beforeAutospacing="0" w:afterAutospacing="0"/>
        <w:ind w:firstLine="543"/>
        <w:jc w:val="both"/>
        <w:rPr>
          <w:rFonts w:asciiTheme="minorBidi" w:hAnsiTheme="minorBidi" w:cstheme="minorBidi"/>
          <w:sz w:val="32"/>
          <w:szCs w:val="32"/>
          <w:rtl/>
        </w:rPr>
      </w:pPr>
      <w:r>
        <w:rPr>
          <w:rFonts w:asciiTheme="minorBidi" w:hAnsiTheme="minorBidi" w:cstheme="minorBidi"/>
          <w:sz w:val="32"/>
          <w:szCs w:val="32"/>
          <w:shd w:val="clear" w:color="auto" w:fill="FFFFFF"/>
          <w:rtl/>
        </w:rPr>
        <w:t xml:space="preserve">وفي ذات المبدأ الذي أرسته المحكمة الإدارية العليا، ذهبت الجمعية العمومية لقسمي الفتوي والتشريع بمجلس الدولة إلى ذات النهج وأفتت بأن </w:t>
      </w:r>
      <w:r>
        <w:rPr>
          <w:rFonts w:asciiTheme="minorBidi" w:hAnsiTheme="minorBidi" w:cstheme="minorBidi"/>
          <w:sz w:val="32"/>
          <w:szCs w:val="32"/>
          <w:rtl/>
        </w:rPr>
        <w:t xml:space="preserve">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w:t>
      </w:r>
      <w:r>
        <w:rPr>
          <w:rFonts w:asciiTheme="minorBidi" w:hAnsiTheme="minorBidi" w:cstheme="minorBidi"/>
          <w:sz w:val="32"/>
          <w:szCs w:val="32"/>
          <w:rtl/>
        </w:rPr>
        <w:lastRenderedPageBreak/>
        <w:t>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Pr>
          <w:rFonts w:asciiTheme="minorBidi" w:hAnsiTheme="minorBidi" w:cstheme="minorBidi"/>
          <w:sz w:val="32"/>
          <w:szCs w:val="32"/>
        </w:rPr>
        <w:t xml:space="preserve"> </w:t>
      </w:r>
      <w:r>
        <w:rPr>
          <w:rFonts w:asciiTheme="minorBidi" w:hAnsiTheme="minorBidi" w:cstheme="minorBidi"/>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Pr>
          <w:rFonts w:asciiTheme="minorBidi" w:hAnsiTheme="minorBidi" w:cstheme="minorBidi"/>
          <w:sz w:val="32"/>
          <w:szCs w:val="32"/>
        </w:rPr>
        <w:t xml:space="preserve"> </w:t>
      </w:r>
      <w:r>
        <w:rPr>
          <w:rFonts w:asciiTheme="minorBidi" w:hAnsiTheme="minorBidi" w:cstheme="minorBidi"/>
          <w:sz w:val="32"/>
          <w:szCs w:val="32"/>
          <w:rtl/>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Pr>
          <w:rFonts w:asciiTheme="minorBidi" w:hAnsiTheme="minorBidi" w:cstheme="minorBidi"/>
          <w:sz w:val="32"/>
          <w:szCs w:val="32"/>
        </w:rPr>
        <w:t>.</w:t>
      </w:r>
      <w:r>
        <w:rPr>
          <w:rFonts w:asciiTheme="minorBidi" w:hAnsiTheme="minorBidi" w:cstheme="minorBidi"/>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Pr>
          <w:rFonts w:asciiTheme="minorBidi" w:hAnsiTheme="minorBidi" w:cstheme="minorBidi"/>
          <w:sz w:val="32"/>
          <w:szCs w:val="32"/>
        </w:rPr>
        <w:t xml:space="preserve"> </w:t>
      </w:r>
      <w:r>
        <w:rPr>
          <w:rFonts w:asciiTheme="minorBidi" w:hAnsiTheme="minorBidi" w:cstheme="minorBidi"/>
          <w:sz w:val="32"/>
          <w:szCs w:val="32"/>
          <w:rtl/>
        </w:rPr>
        <w:t>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5/2018).</w:t>
      </w:r>
    </w:p>
    <w:p w:rsidR="000C6292" w:rsidRDefault="000C6292" w:rsidP="000C6292">
      <w:pPr>
        <w:pStyle w:val="ab"/>
        <w:bidi/>
        <w:spacing w:beforeAutospacing="0" w:afterAutospacing="0"/>
        <w:ind w:firstLine="543"/>
        <w:jc w:val="both"/>
        <w:rPr>
          <w:rFonts w:asciiTheme="minorBidi" w:hAnsiTheme="minorBidi" w:cstheme="minorBidi"/>
          <w:sz w:val="32"/>
          <w:szCs w:val="32"/>
          <w:rtl/>
        </w:rPr>
      </w:pPr>
    </w:p>
    <w:p w:rsidR="0078290F" w:rsidRDefault="0078290F" w:rsidP="000C6292">
      <w:pPr>
        <w:tabs>
          <w:tab w:val="left" w:pos="10432"/>
        </w:tabs>
        <w:bidi/>
        <w:ind w:firstLine="543"/>
        <w:jc w:val="both"/>
        <w:rPr>
          <w:rFonts w:asciiTheme="minorBidi" w:hAnsiTheme="minorBidi" w:cstheme="minorBidi"/>
          <w:sz w:val="32"/>
          <w:szCs w:val="32"/>
          <w:shd w:val="clear" w:color="auto" w:fill="FFFFFF"/>
          <w:rtl/>
        </w:rPr>
      </w:pPr>
      <w:r>
        <w:rPr>
          <w:rFonts w:asciiTheme="minorBidi" w:hAnsiTheme="minorBidi"/>
          <w:sz w:val="32"/>
          <w:szCs w:val="32"/>
          <w:shd w:val="clear" w:color="auto" w:fill="FFFFFF"/>
          <w:rtl/>
        </w:rPr>
        <w:lastRenderedPageBreak/>
        <w:t>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0C6292" w:rsidRDefault="000C6292" w:rsidP="000C6292">
      <w:pPr>
        <w:tabs>
          <w:tab w:val="left" w:pos="10432"/>
        </w:tabs>
        <w:bidi/>
        <w:ind w:firstLine="543"/>
        <w:jc w:val="both"/>
        <w:rPr>
          <w:rFonts w:asciiTheme="minorBidi" w:hAnsiTheme="minorBidi" w:cs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lastRenderedPageBreak/>
        <w:t>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pStyle w:val="aa"/>
        <w:ind w:firstLine="543"/>
        <w:jc w:val="both"/>
        <w:rPr>
          <w:rFonts w:asciiTheme="minorBidi" w:hAnsiTheme="minorBidi"/>
          <w:sz w:val="32"/>
          <w:szCs w:val="32"/>
          <w:u w:val="single"/>
          <w:rtl/>
        </w:rPr>
      </w:pPr>
      <w:r>
        <w:rPr>
          <w:rFonts w:asciiTheme="minorBidi" w:hAnsiTheme="minorBidi"/>
          <w:sz w:val="32"/>
          <w:szCs w:val="32"/>
          <w:shd w:val="clear" w:color="auto" w:fill="FFFFFF"/>
          <w:rtl/>
        </w:rPr>
        <w:t>وبناء على ما تقدم، ولما كان الثابت بالأوراق أن الطاعنة</w:t>
      </w:r>
      <w:r>
        <w:rPr>
          <w:rFonts w:asciiTheme="minorBidi" w:hAnsiTheme="minorBidi"/>
          <w:sz w:val="32"/>
          <w:szCs w:val="32"/>
          <w:rtl/>
        </w:rPr>
        <w:t xml:space="preserve"> تشغل حاليا وظيفة مدير إدارة التخطيط بالهيئة المطعون ضدها، </w:t>
      </w:r>
      <w:r>
        <w:rPr>
          <w:rFonts w:asciiTheme="minorBidi" w:hAnsiTheme="minorBidi"/>
          <w:sz w:val="32"/>
          <w:szCs w:val="32"/>
          <w:shd w:val="clear" w:color="auto" w:fill="FFFFFF"/>
          <w:rtl/>
        </w:rPr>
        <w:t>وقد صدر بحقها قرار لجنة التأديب التابعة لهيئة النيابة الإدارية</w:t>
      </w:r>
      <w:r>
        <w:rPr>
          <w:rFonts w:asciiTheme="minorBidi" w:hAnsiTheme="minorBidi"/>
          <w:sz w:val="32"/>
          <w:szCs w:val="32"/>
          <w:rtl/>
        </w:rPr>
        <w:t xml:space="preserve"> </w:t>
      </w:r>
      <w:r>
        <w:rPr>
          <w:rFonts w:asciiTheme="minorBidi" w:hAnsiTheme="minorBidi"/>
          <w:sz w:val="32"/>
          <w:szCs w:val="32"/>
          <w:shd w:val="clear" w:color="auto" w:fill="FFFFFF"/>
          <w:rtl/>
        </w:rPr>
        <w:t>رقم (52) لسنة 2021 بتاريخ 1/3/2021 بمجازاتها بعقوبة الإنذار لما نسب إليها في تحقيقاتها بالقضية رقم (432) لسنة 2020 نيابة القاهرة الجديدة، وقد صدر تنفيذا له قرار رئيس الهيئة محل عمل الطاعنة رقم (469) لسنة 2021 بتاريخ 28/4/2021.</w:t>
      </w:r>
    </w:p>
    <w:p w:rsidR="0078290F" w:rsidRDefault="0078290F"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w:t>
      </w:r>
      <w:r>
        <w:rPr>
          <w:rFonts w:asciiTheme="minorBidi" w:hAnsiTheme="minorBidi"/>
          <w:sz w:val="32"/>
          <w:szCs w:val="32"/>
          <w:rtl/>
        </w:rPr>
        <w:t>ببطلان قرار لجنة تأديب النيابة الإدارية المطعون فيه، وبطلان أية قرارات صدرت تنفيذاً له</w:t>
      </w:r>
      <w:r>
        <w:rPr>
          <w:rFonts w:asciiTheme="minorBidi" w:hAnsiTheme="minorBidi"/>
          <w:sz w:val="32"/>
          <w:szCs w:val="32"/>
          <w:shd w:val="clear" w:color="auto" w:fill="FFFFFF"/>
          <w:rtl/>
        </w:rPr>
        <w:t>، وبصرف النظر عما ارتُكِب من مخالفات.</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rtl/>
        </w:rPr>
      </w:pPr>
      <w:r>
        <w:rPr>
          <w:rFonts w:asciiTheme="minorBidi" w:hAnsiTheme="minorBidi"/>
          <w:sz w:val="32"/>
          <w:szCs w:val="32"/>
          <w:shd w:val="clear" w:color="auto" w:fill="FFFFFF"/>
          <w:rtl/>
        </w:rPr>
        <w:lastRenderedPageBreak/>
        <w:t>ومن حيث إنه عن شكل طلب الإلغاء، فإن المستقر علية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w:t>
      </w:r>
      <w:r>
        <w:rPr>
          <w:rFonts w:asciiTheme="minorBidi" w:hAnsiTheme="minorBidi"/>
          <w:sz w:val="32"/>
          <w:szCs w:val="32"/>
          <w:shd w:val="clear" w:color="auto" w:fill="FFFFFF"/>
          <w:rtl/>
          <w:lang w:bidi="ar-EG"/>
        </w:rPr>
        <w:t xml:space="preserve">، </w:t>
      </w:r>
      <w:r>
        <w:rPr>
          <w:rFonts w:asciiTheme="minorBidi" w:hAnsiTheme="minorBidi"/>
          <w:sz w:val="32"/>
          <w:szCs w:val="32"/>
          <w:shd w:val="clear" w:color="auto" w:fill="FFFFFF"/>
          <w:rtl/>
        </w:rPr>
        <w:t xml:space="preserve">ولا يشترط التظلم منه أو اللجوء إلى لجنة التوفيق في بعض المنازعات بشأنه قبل ولوج سبيل التقاضي، </w:t>
      </w:r>
      <w:r>
        <w:rPr>
          <w:rFonts w:asciiTheme="minorBidi" w:hAnsiTheme="minorBidi"/>
          <w:sz w:val="32"/>
          <w:szCs w:val="32"/>
          <w:rtl/>
        </w:rPr>
        <w:t>ولما كان القرار المطعون فيه قد صدر منعدماً، فمن ثم لا يتقيد الطعن فيه بمواعيد وإجراءات الطعن بالإلغاء، وحيث استوفى الطلب سائر أوضاعه الشكلية والإجرائية الأخرى المقررة قانوناً فإنه يكون مقبول شكلاً.</w:t>
      </w:r>
    </w:p>
    <w:p w:rsidR="0078290F" w:rsidRDefault="0078290F"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 xml:space="preserve">ومن حيث إنه </w:t>
      </w:r>
      <w:r>
        <w:rPr>
          <w:rFonts w:asciiTheme="minorBidi" w:hAnsiTheme="minorBidi"/>
          <w:sz w:val="32"/>
          <w:szCs w:val="32"/>
          <w:shd w:val="clear" w:color="auto" w:fill="FFFFFF"/>
          <w:rtl/>
          <w:lang w:bidi="ar-EG"/>
        </w:rPr>
        <w:t xml:space="preserve">بشأن </w:t>
      </w:r>
      <w:r>
        <w:rPr>
          <w:rFonts w:asciiTheme="minorBidi" w:hAnsiTheme="minorBidi"/>
          <w:sz w:val="32"/>
          <w:szCs w:val="32"/>
          <w:shd w:val="clear" w:color="auto" w:fill="FFFFFF"/>
          <w:rtl/>
        </w:rPr>
        <w:t>طلب التعويض، فإنه يعد من طلبات القضاء الكامل غير المتقيدة بمواعيد وإجراءات دعاوى الإلغاء، وإذ استوفى أوضاعه الشكلية المقررة قانونا فإنه يكون مقبول شكلا.</w:t>
      </w:r>
    </w:p>
    <w:p w:rsidR="000C6292" w:rsidRDefault="000C6292"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rtl/>
          <w:lang w:bidi="ar-EG"/>
        </w:rPr>
        <w:t xml:space="preserve">ومن حيث </w:t>
      </w:r>
      <w:r>
        <w:rPr>
          <w:rFonts w:asciiTheme="minorBidi" w:hAnsiTheme="minorBidi"/>
          <w:sz w:val="32"/>
          <w:szCs w:val="32"/>
          <w:rtl/>
        </w:rPr>
        <w:t>إن المادة (163) من القانون المدني تنص على أن "كل خطأ سبب ضرراً للغير يلزم من ارتكبه بالتعويض".</w:t>
      </w:r>
    </w:p>
    <w:p w:rsidR="0078290F" w:rsidRDefault="0078290F" w:rsidP="000C6292">
      <w:pPr>
        <w:tabs>
          <w:tab w:val="left" w:pos="10432"/>
        </w:tabs>
        <w:bidi/>
        <w:ind w:firstLine="543"/>
        <w:jc w:val="both"/>
        <w:rPr>
          <w:rFonts w:asciiTheme="minorBidi" w:hAnsiTheme="minorBidi"/>
          <w:sz w:val="32"/>
          <w:szCs w:val="32"/>
          <w:shd w:val="clear" w:color="auto" w:fill="FFFFFF"/>
        </w:rPr>
      </w:pPr>
    </w:p>
    <w:p w:rsidR="0078290F" w:rsidRDefault="0078290F" w:rsidP="000C6292">
      <w:pPr>
        <w:tabs>
          <w:tab w:val="left" w:pos="10432"/>
        </w:tabs>
        <w:bidi/>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إنه من المقرر أنه لا تلازم بين عدم مشروعية القرار الإداري وتحقق ركن الخطأ الموجب للتعويض، فإلغاء القرار لعيب عدم الاختصاص أو لعيب في الشكل لا يصلح بالضرورة أساسا للتعويض، كما أن إلغاء القرار لعيب في الإجراءات لا ينشئ حقا في التعويض، بحسبان الحكم الصادر بالإلغاء لم يفصل في المسئولية على وجه قطعي (المحكمة الإدارية العليا في الطعن رقم 8296 لسنة 44ق.ع بجلسة 27/3/2005، والطعن رقم 4826 لسنة 43ق.ع بجلسة 2/9/2000).</w:t>
      </w:r>
    </w:p>
    <w:p w:rsidR="0078290F" w:rsidRDefault="0078290F" w:rsidP="000C6292">
      <w:pPr>
        <w:bidi/>
        <w:ind w:firstLine="543"/>
        <w:jc w:val="both"/>
        <w:rPr>
          <w:rFonts w:asciiTheme="minorBidi" w:hAnsiTheme="minorBidi"/>
          <w:sz w:val="32"/>
          <w:szCs w:val="32"/>
          <w:shd w:val="clear" w:color="auto" w:fill="FFFFFF"/>
          <w:rtl/>
        </w:rPr>
      </w:pPr>
    </w:p>
    <w:p w:rsidR="0078290F" w:rsidRDefault="0078290F" w:rsidP="000C6292">
      <w:pPr>
        <w:bidi/>
        <w:ind w:firstLine="543"/>
        <w:jc w:val="both"/>
        <w:rPr>
          <w:rFonts w:asciiTheme="minorBidi" w:hAnsiTheme="minorBidi"/>
          <w:sz w:val="32"/>
          <w:szCs w:val="32"/>
          <w:rtl/>
        </w:rPr>
      </w:pPr>
      <w:r>
        <w:rPr>
          <w:rFonts w:asciiTheme="minorBidi" w:hAnsiTheme="minorBidi"/>
          <w:sz w:val="32"/>
          <w:szCs w:val="32"/>
          <w:shd w:val="clear" w:color="auto" w:fill="FFFFFF"/>
          <w:rtl/>
        </w:rPr>
        <w:t xml:space="preserve">ومن المقرر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الاضرار، إعمالا لقاعدة راسخة مؤداها أن </w:t>
      </w:r>
      <w:r>
        <w:rPr>
          <w:rFonts w:asciiTheme="minorBidi" w:hAnsiTheme="minorBidi"/>
          <w:sz w:val="32"/>
          <w:szCs w:val="32"/>
          <w:shd w:val="clear" w:color="auto" w:fill="FFFFFF"/>
          <w:rtl/>
          <w:lang w:bidi="ar-EG"/>
        </w:rPr>
        <w:t>"</w:t>
      </w:r>
      <w:r>
        <w:rPr>
          <w:rFonts w:asciiTheme="minorBidi" w:hAnsiTheme="minorBidi"/>
          <w:sz w:val="32"/>
          <w:szCs w:val="32"/>
          <w:shd w:val="clear" w:color="auto" w:fill="FFFFFF"/>
          <w:rtl/>
        </w:rPr>
        <w:t>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r>
        <w:rPr>
          <w:rFonts w:asciiTheme="minorBidi" w:hAnsiTheme="minorBidi"/>
          <w:sz w:val="32"/>
          <w:szCs w:val="32"/>
          <w:rtl/>
        </w:rPr>
        <w:t xml:space="preserve"> </w:t>
      </w:r>
    </w:p>
    <w:p w:rsidR="0078290F" w:rsidRDefault="0078290F" w:rsidP="000C6292">
      <w:pPr>
        <w:tabs>
          <w:tab w:val="left" w:pos="10432"/>
        </w:tabs>
        <w:bidi/>
        <w:ind w:firstLine="543"/>
        <w:jc w:val="both"/>
        <w:rPr>
          <w:rFonts w:asciiTheme="minorBidi" w:hAnsiTheme="minorBidi"/>
          <w:sz w:val="32"/>
          <w:szCs w:val="32"/>
          <w:shd w:val="clear" w:color="auto" w:fill="FFFFFF"/>
          <w:rtl/>
        </w:rPr>
      </w:pPr>
    </w:p>
    <w:p w:rsidR="0078290F" w:rsidRDefault="0078290F" w:rsidP="000C6292">
      <w:pPr>
        <w:tabs>
          <w:tab w:val="left" w:pos="10432"/>
        </w:tabs>
        <w:bidi/>
        <w:ind w:firstLine="543"/>
        <w:jc w:val="both"/>
        <w:rPr>
          <w:rFonts w:asciiTheme="minorBidi" w:hAnsiTheme="minorBidi"/>
          <w:sz w:val="32"/>
          <w:szCs w:val="32"/>
          <w:rtl/>
        </w:rPr>
      </w:pPr>
      <w:r>
        <w:rPr>
          <w:rFonts w:asciiTheme="minorBidi" w:hAnsiTheme="minorBidi"/>
          <w:sz w:val="32"/>
          <w:szCs w:val="32"/>
          <w:shd w:val="clear" w:color="auto" w:fill="FFFFFF"/>
          <w:rtl/>
        </w:rPr>
        <w:t xml:space="preserve">وبناء على ما تقدم، فإن كانت المحكمة قد انتهت فيما تقدم من حكمها إلى إلغاء القرار المطعون فيه لأسباب سلف بيانها لم تتطرق إلى موضوع المخالفات المنسوبة للطاعنة ومدى ثبوتها في حقها، وأشارت بجلاء في ختام حكمها في طلب الإلغاء بأن ما انتهت إليه بقضائها كان بغض النظر عما ارتكب من مخالفات نسبت إلى الطاعنة وكان تسببا في القرار المطعون فيه، فإن ما قضت به المحكمة والحال كذلك لم </w:t>
      </w:r>
      <w:r>
        <w:rPr>
          <w:rFonts w:asciiTheme="minorBidi" w:hAnsiTheme="minorBidi"/>
          <w:sz w:val="32"/>
          <w:szCs w:val="32"/>
          <w:shd w:val="clear" w:color="auto" w:fill="FFFFFF"/>
          <w:rtl/>
        </w:rPr>
        <w:lastRenderedPageBreak/>
        <w:t xml:space="preserve">يرتب بأي حال حقا للطاعنة في التعويض، لا سيما </w:t>
      </w:r>
      <w:r>
        <w:rPr>
          <w:rFonts w:asciiTheme="minorBidi" w:hAnsiTheme="minorBidi"/>
          <w:sz w:val="32"/>
          <w:szCs w:val="32"/>
          <w:rtl/>
        </w:rPr>
        <w:t>وأنه فيما يتعلق بركن الضرر فإن الطاعنة لم تثبت الأضرار التي أصابتها من جراء هذا القرار، سواء المادية منها أو الأدبية، ولم تقدم أي دليل على إصابتها بأي أضرار حقيقية وفعلية، ليست مجرد أضرار ظنية أو افتراضية، كما عجزت عن تقديم أي أوراق أو مستندات تفيد وقوع وتحقُّق مثل تلك الأضرار بالفعل وبحكم الحقيقة والواقع، وجاءت مطالبتها بتعويض عن الأضرار التي أصيبت بها بأقوال مرسلة تفتقر إلى دليل يدعمها ويثبت صحتها، ومن ثم فإنه بما تقدم جميعه لا تتكامل في حق الهيئة المطعون ضدها أركان المسئولية الموجبة للتعويض،</w:t>
      </w:r>
      <w:r>
        <w:rPr>
          <w:rFonts w:asciiTheme="minorBidi" w:hAnsiTheme="minorBidi"/>
          <w:sz w:val="32"/>
          <w:szCs w:val="32"/>
        </w:rPr>
        <w:t xml:space="preserve"> </w:t>
      </w:r>
      <w:r>
        <w:rPr>
          <w:rFonts w:asciiTheme="minorBidi" w:hAnsiTheme="minorBidi"/>
          <w:sz w:val="32"/>
          <w:szCs w:val="32"/>
          <w:rtl/>
        </w:rPr>
        <w:t>مما يتعين معه والحال كذلك القضاء برفض الطلب الماثل.</w:t>
      </w:r>
    </w:p>
    <w:p w:rsidR="000C6292" w:rsidRDefault="000C6292" w:rsidP="000C6292">
      <w:pPr>
        <w:tabs>
          <w:tab w:val="left" w:pos="10432"/>
        </w:tabs>
        <w:bidi/>
        <w:ind w:firstLine="543"/>
        <w:jc w:val="both"/>
        <w:rPr>
          <w:rFonts w:asciiTheme="minorBidi" w:hAnsiTheme="minorBidi"/>
          <w:sz w:val="32"/>
          <w:szCs w:val="32"/>
          <w:rtl/>
        </w:rPr>
      </w:pPr>
    </w:p>
    <w:p w:rsidR="0078290F" w:rsidRDefault="0078290F" w:rsidP="000C6292">
      <w:pPr>
        <w:tabs>
          <w:tab w:val="left" w:pos="10432"/>
        </w:tabs>
        <w:bidi/>
        <w:ind w:firstLine="543"/>
        <w:jc w:val="both"/>
        <w:rPr>
          <w:rFonts w:asciiTheme="minorBidi" w:hAnsiTheme="minorBidi"/>
          <w:sz w:val="32"/>
          <w:szCs w:val="32"/>
          <w:rtl/>
        </w:rPr>
      </w:pPr>
      <w:r>
        <w:rPr>
          <w:rFonts w:asciiTheme="minorBidi" w:hAnsiTheme="minorBidi"/>
          <w:sz w:val="32"/>
          <w:szCs w:val="32"/>
          <w:rtl/>
        </w:rPr>
        <w:t>ومن حيث إن</w:t>
      </w:r>
      <w:r>
        <w:rPr>
          <w:rFonts w:asciiTheme="minorBidi" w:hAnsiTheme="minorBidi"/>
          <w:sz w:val="32"/>
          <w:szCs w:val="32"/>
          <w:rtl/>
          <w:lang w:bidi="ar-EG"/>
        </w:rPr>
        <w:t>ه للمحكمة إلزام أي من طرفي الخصومة مصروفاتها</w:t>
      </w:r>
      <w:r>
        <w:rPr>
          <w:rFonts w:asciiTheme="minorBidi" w:hAnsiTheme="minorBidi"/>
          <w:sz w:val="32"/>
          <w:szCs w:val="32"/>
          <w:rtl/>
        </w:rPr>
        <w:t xml:space="preserve"> عملا بحكم المادة (186) من قانون المرافعات المدنية والتجارية.</w:t>
      </w:r>
    </w:p>
    <w:p w:rsidR="0078290F" w:rsidRPr="0078290F" w:rsidRDefault="0078290F" w:rsidP="000C6292">
      <w:pPr>
        <w:bidi/>
        <w:ind w:firstLine="543"/>
        <w:jc w:val="center"/>
        <w:rPr>
          <w:rFonts w:asciiTheme="minorBidi" w:hAnsiTheme="minorBidi"/>
          <w:b/>
          <w:bCs/>
          <w:sz w:val="32"/>
          <w:szCs w:val="32"/>
          <w:u w:val="single"/>
          <w:rtl/>
        </w:rPr>
      </w:pPr>
      <w:r w:rsidRPr="0078290F">
        <w:rPr>
          <w:rFonts w:asciiTheme="minorBidi" w:hAnsiTheme="minorBidi"/>
          <w:b/>
          <w:bCs/>
          <w:sz w:val="32"/>
          <w:szCs w:val="32"/>
          <w:u w:val="single"/>
          <w:rtl/>
        </w:rPr>
        <w:t>فلهذه الأسباب</w:t>
      </w:r>
    </w:p>
    <w:p w:rsidR="0078290F" w:rsidRDefault="0078290F" w:rsidP="000C6292">
      <w:pPr>
        <w:bidi/>
        <w:ind w:firstLine="543"/>
        <w:jc w:val="both"/>
        <w:rPr>
          <w:rFonts w:asciiTheme="minorBidi" w:hAnsiTheme="minorBidi"/>
          <w:sz w:val="32"/>
          <w:szCs w:val="32"/>
          <w:rtl/>
        </w:rPr>
      </w:pPr>
      <w:bookmarkStart w:id="1" w:name="_Hlk58787896"/>
      <w:r>
        <w:rPr>
          <w:rFonts w:asciiTheme="minorBidi" w:hAnsiTheme="minorBidi"/>
          <w:sz w:val="32"/>
          <w:szCs w:val="32"/>
          <w:rtl/>
        </w:rPr>
        <w:t>حكمت المحكمة: بقبول الطعن شكلاً وفي الموضوع ببطلان قرار لجنة التأديب بالنيابة الإدارية رقم (52) لسنة 2021 الصادر بتاريخ 1/3/2021 فيما تضمنه من مجازاة الطاعنة بعقوبة الإنذار، وبطلان قرار الهيئة المطعون ضدها رقم (469) لسنة 2021 الصادر بتاريخ 28/4/2021 الصادر تنفيذاً له، وذلك على النحو المبين بالأسباب، مع ما يترتب على ذلك من آثار، ورفض ما عدا ذلك من طلبات، وإلزام الهيئة المطعون ضدها المصروفات.</w:t>
      </w:r>
      <w:bookmarkEnd w:id="1"/>
    </w:p>
    <w:p w:rsidR="006C44F1" w:rsidRDefault="006C44F1" w:rsidP="00BA75A5">
      <w:pPr>
        <w:bidi/>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CEC" w:rsidRDefault="00733CEC">
      <w:r>
        <w:separator/>
      </w:r>
    </w:p>
  </w:endnote>
  <w:endnote w:type="continuationSeparator" w:id="1">
    <w:p w:rsidR="00733CEC" w:rsidRDefault="00733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2036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2036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90BDA">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CEC" w:rsidRDefault="00733CEC">
      <w:r>
        <w:separator/>
      </w:r>
    </w:p>
  </w:footnote>
  <w:footnote w:type="continuationSeparator" w:id="1">
    <w:p w:rsidR="00733CEC" w:rsidRDefault="00733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90BDA">
          <w:rPr>
            <w:rFonts w:hint="cs"/>
            <w:sz w:val="28"/>
            <w:szCs w:val="28"/>
            <w:u w:val="single"/>
            <w:rtl/>
            <w:lang w:bidi="ar-EG"/>
          </w:rPr>
          <w:t>في الطعن رقم 139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292"/>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BDA"/>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6EF"/>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3CE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0F"/>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1C99"/>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24A4"/>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366"/>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0DD"/>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78290F"/>
    <w:rPr>
      <w:sz w:val="24"/>
      <w:szCs w:val="24"/>
      <w:lang w:eastAsia="ar-SA"/>
    </w:rPr>
  </w:style>
  <w:style w:type="character" w:customStyle="1" w:styleId="uficommentbody">
    <w:name w:val="uficommentbody"/>
    <w:rsid w:val="0078290F"/>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178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63FC1"/>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039FB"/>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4563</Words>
  <Characters>26012</Characters>
  <Application>Microsoft Office Word</Application>
  <DocSecurity>0</DocSecurity>
  <Lines>216</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2020-04-04T18:19:00Z</dcterms:modified>
  <cp:contentStatus>في الطعن رقم 139 لسنة 55 ق.</cp:contentStatus>
</cp:coreProperties>
</file>