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BD61F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BD61F9">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D61F9">
        <w:rPr>
          <w:rFonts w:ascii="Arial" w:hAnsi="Arial" w:cs="Arial" w:hint="cs"/>
          <w:sz w:val="32"/>
          <w:szCs w:val="32"/>
          <w:rtl/>
          <w:lang w:bidi="ar-EG"/>
        </w:rPr>
        <w:t>8</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8E5DAE">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8E5DAE">
            <w:rPr>
              <w:rFonts w:ascii="Arial" w:hAnsi="Arial" w:cs="Arial" w:hint="cs"/>
              <w:sz w:val="32"/>
              <w:szCs w:val="32"/>
              <w:rtl/>
              <w:lang w:bidi="ar-EG"/>
            </w:rPr>
            <w:t>93</w:t>
          </w:r>
          <w:r>
            <w:rPr>
              <w:rFonts w:ascii="Arial" w:hAnsi="Arial" w:cs="Arial" w:hint="cs"/>
              <w:sz w:val="32"/>
              <w:szCs w:val="32"/>
              <w:rtl/>
              <w:lang w:bidi="ar-EG"/>
            </w:rPr>
            <w:t xml:space="preserve"> لسنة </w:t>
          </w:r>
          <w:r w:rsidR="008E5DAE">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E44C68" w:rsidRPr="008E5DAE" w:rsidRDefault="00E44C68" w:rsidP="008E5DAE">
      <w:pPr>
        <w:pStyle w:val="4"/>
        <w:keepNext w:val="0"/>
        <w:bidi/>
        <w:ind w:hanging="24"/>
        <w:jc w:val="center"/>
        <w:rPr>
          <w:rFonts w:ascii="Traditional Arabic" w:hAnsi="Traditional Arabic" w:cstheme="minorBidi"/>
          <w:b w:val="0"/>
          <w:i w:val="0"/>
          <w:iCs w:val="0"/>
          <w:color w:val="auto"/>
          <w:sz w:val="40"/>
          <w:szCs w:val="32"/>
        </w:rPr>
      </w:pPr>
      <w:r w:rsidRPr="008E5DAE">
        <w:rPr>
          <w:rFonts w:ascii="Traditional Arabic" w:hAnsi="Traditional Arabic" w:cstheme="minorBidi" w:hint="cs"/>
          <w:b w:val="0"/>
          <w:i w:val="0"/>
          <w:iCs w:val="0"/>
          <w:caps/>
          <w:color w:val="auto"/>
          <w:sz w:val="40"/>
          <w:szCs w:val="32"/>
          <w:rtl/>
        </w:rPr>
        <w:t>المُقام من</w:t>
      </w:r>
    </w:p>
    <w:p w:rsidR="00E44C68" w:rsidRDefault="00E44C68" w:rsidP="008E5DAE">
      <w:pPr>
        <w:bidi/>
        <w:spacing w:before="120" w:after="120"/>
        <w:ind w:hanging="24"/>
        <w:jc w:val="center"/>
        <w:rPr>
          <w:rFonts w:ascii="Traditional Arabic" w:hAnsi="Traditional Arabic" w:cstheme="minorBidi" w:hint="cs"/>
          <w:b/>
          <w:sz w:val="40"/>
          <w:szCs w:val="32"/>
          <w:rtl/>
          <w:lang w:eastAsia="ar-SA" w:bidi="ar-EG"/>
        </w:rPr>
      </w:pPr>
      <w:r>
        <w:rPr>
          <w:rFonts w:ascii="Traditional Arabic" w:hAnsi="Traditional Arabic" w:cstheme="minorBidi"/>
          <w:b/>
          <w:sz w:val="40"/>
          <w:szCs w:val="32"/>
          <w:rtl/>
          <w:lang w:eastAsia="ar-SA" w:bidi="ar-EG"/>
        </w:rPr>
        <w:t>هبة إبراهيم محمد مهران</w:t>
      </w:r>
    </w:p>
    <w:p w:rsidR="00E44C68" w:rsidRPr="008E5DAE" w:rsidRDefault="00E44C68" w:rsidP="008E5DAE">
      <w:pPr>
        <w:bidi/>
        <w:spacing w:before="120" w:after="120"/>
        <w:ind w:hanging="24"/>
        <w:jc w:val="center"/>
        <w:rPr>
          <w:rFonts w:ascii="Traditional Arabic" w:hAnsi="Traditional Arabic" w:cstheme="minorBidi"/>
          <w:bCs/>
          <w:sz w:val="40"/>
          <w:szCs w:val="32"/>
          <w:u w:val="single"/>
          <w:rtl/>
          <w:lang w:bidi="ar-EG"/>
        </w:rPr>
      </w:pPr>
      <w:r w:rsidRPr="008E5DAE">
        <w:rPr>
          <w:rFonts w:ascii="Traditional Arabic" w:hAnsi="Traditional Arabic" w:cstheme="minorBidi"/>
          <w:bCs/>
          <w:sz w:val="40"/>
          <w:szCs w:val="32"/>
          <w:u w:val="single"/>
          <w:rtl/>
          <w:lang w:bidi="ar-EG"/>
        </w:rPr>
        <w:t>ضـ</w:t>
      </w:r>
      <w:r w:rsidRPr="008E5DAE">
        <w:rPr>
          <w:rFonts w:ascii="Traditional Arabic" w:hAnsi="Traditional Arabic" w:cstheme="minorBidi"/>
          <w:bCs/>
          <w:sz w:val="40"/>
          <w:szCs w:val="32"/>
          <w:u w:val="single"/>
          <w:rtl/>
        </w:rPr>
        <w:t>ـ</w:t>
      </w:r>
      <w:r w:rsidRPr="008E5DAE">
        <w:rPr>
          <w:rFonts w:ascii="Traditional Arabic" w:hAnsi="Traditional Arabic" w:cstheme="minorBidi"/>
          <w:bCs/>
          <w:sz w:val="40"/>
          <w:szCs w:val="32"/>
          <w:u w:val="single"/>
          <w:rtl/>
          <w:lang w:bidi="ar-EG"/>
        </w:rPr>
        <w:t>د</w:t>
      </w:r>
    </w:p>
    <w:p w:rsidR="00E44C68" w:rsidRDefault="00E44C68" w:rsidP="008E5DAE">
      <w:pPr>
        <w:bidi/>
        <w:spacing w:before="120" w:after="120"/>
        <w:ind w:hanging="24"/>
        <w:jc w:val="center"/>
        <w:rPr>
          <w:rFonts w:ascii="Traditional Arabic" w:hAnsi="Traditional Arabic" w:cstheme="minorBidi"/>
          <w:b/>
          <w:sz w:val="40"/>
          <w:szCs w:val="32"/>
        </w:rPr>
      </w:pPr>
      <w:r>
        <w:rPr>
          <w:rFonts w:ascii="Traditional Arabic" w:hAnsi="Traditional Arabic" w:cstheme="minorBidi"/>
          <w:b/>
          <w:sz w:val="40"/>
          <w:szCs w:val="32"/>
          <w:rtl/>
        </w:rPr>
        <w:t xml:space="preserve">1 -  رئيس جامعة </w:t>
      </w:r>
      <w:r w:rsidR="008E5DAE">
        <w:rPr>
          <w:rFonts w:ascii="Traditional Arabic" w:hAnsi="Traditional Arabic" w:cstheme="minorBidi" w:hint="cs"/>
          <w:b/>
          <w:sz w:val="40"/>
          <w:szCs w:val="32"/>
          <w:rtl/>
        </w:rPr>
        <w:t>المنيا</w:t>
      </w:r>
    </w:p>
    <w:p w:rsidR="00E44C68" w:rsidRDefault="00E44C68" w:rsidP="008E5DAE">
      <w:pPr>
        <w:bidi/>
        <w:spacing w:before="120" w:after="120"/>
        <w:ind w:hanging="24"/>
        <w:jc w:val="center"/>
        <w:rPr>
          <w:rFonts w:ascii="Traditional Arabic" w:hAnsi="Traditional Arabic" w:cstheme="minorBidi"/>
          <w:b/>
          <w:sz w:val="40"/>
          <w:szCs w:val="32"/>
          <w:rtl/>
        </w:rPr>
      </w:pPr>
      <w:r>
        <w:rPr>
          <w:rFonts w:ascii="Traditional Arabic" w:hAnsi="Traditional Arabic" w:cstheme="minorBidi"/>
          <w:b/>
          <w:sz w:val="40"/>
          <w:szCs w:val="32"/>
          <w:rtl/>
        </w:rPr>
        <w:t>2 -  عميد كُلية السياحة والفنادق بالمنيا</w:t>
      </w:r>
      <w:r w:rsidR="008E5DAE">
        <w:rPr>
          <w:rFonts w:ascii="Traditional Arabic" w:hAnsi="Traditional Arabic" w:cstheme="minorBidi" w:hint="cs"/>
          <w:b/>
          <w:sz w:val="40"/>
          <w:szCs w:val="32"/>
          <w:rtl/>
        </w:rPr>
        <w:t xml:space="preserve">  </w:t>
      </w:r>
      <w:r>
        <w:rPr>
          <w:rFonts w:ascii="Traditional Arabic" w:hAnsi="Traditional Arabic" w:cstheme="minorBidi"/>
          <w:b/>
          <w:sz w:val="40"/>
          <w:szCs w:val="32"/>
          <w:rtl/>
        </w:rPr>
        <w:t>"بصفتيهما"</w:t>
      </w:r>
    </w:p>
    <w:p w:rsidR="00E44C68" w:rsidRPr="008E5DAE" w:rsidRDefault="00E44C68" w:rsidP="008E5DAE">
      <w:pPr>
        <w:bidi/>
        <w:spacing w:before="120" w:after="120"/>
        <w:ind w:hanging="24"/>
        <w:jc w:val="lowKashida"/>
        <w:rPr>
          <w:rFonts w:ascii="Traditional Arabic" w:hAnsi="Traditional Arabic" w:cstheme="minorBidi"/>
          <w:bCs/>
          <w:sz w:val="40"/>
          <w:szCs w:val="32"/>
          <w:u w:val="single"/>
          <w:rtl/>
        </w:rPr>
      </w:pPr>
      <w:r w:rsidRPr="008E5DAE">
        <w:rPr>
          <w:rFonts w:ascii="Traditional Arabic" w:hAnsi="Traditional Arabic" w:cstheme="minorBidi"/>
          <w:bCs/>
          <w:sz w:val="40"/>
          <w:szCs w:val="32"/>
          <w:u w:val="single"/>
          <w:rtl/>
        </w:rPr>
        <w:t>الوقائع</w:t>
      </w:r>
    </w:p>
    <w:p w:rsidR="00E44C68" w:rsidRDefault="00E44C68" w:rsidP="00E44C68">
      <w:pPr>
        <w:bidi/>
        <w:spacing w:before="120" w:after="120"/>
        <w:ind w:firstLine="567"/>
        <w:jc w:val="lowKashida"/>
        <w:rPr>
          <w:rFonts w:ascii="Traditional Arabic" w:hAnsi="Traditional Arabic" w:cstheme="minorBidi"/>
          <w:sz w:val="40"/>
          <w:szCs w:val="32"/>
          <w:lang w:bidi="ar-EG"/>
        </w:rPr>
      </w:pPr>
      <w:r>
        <w:rPr>
          <w:rFonts w:ascii="Traditional Arabic" w:hAnsi="Traditional Arabic" w:cstheme="minorBidi"/>
          <w:sz w:val="40"/>
          <w:szCs w:val="32"/>
          <w:rtl/>
          <w:lang w:bidi="ar-EG"/>
        </w:rPr>
        <w:t xml:space="preserve">أقامت الطاعنة الطعن الماثل بصحيفة أودعت </w:t>
      </w:r>
      <w:r w:rsidR="008E5DAE">
        <w:rPr>
          <w:rFonts w:ascii="Traditional Arabic" w:hAnsi="Traditional Arabic" w:cstheme="minorBidi" w:hint="cs"/>
          <w:sz w:val="40"/>
          <w:szCs w:val="32"/>
          <w:rtl/>
          <w:lang w:bidi="ar-EG"/>
        </w:rPr>
        <w:t>ابتداء</w:t>
      </w:r>
      <w:r>
        <w:rPr>
          <w:rFonts w:ascii="Traditional Arabic" w:hAnsi="Traditional Arabic" w:cstheme="minorBidi"/>
          <w:sz w:val="40"/>
          <w:szCs w:val="32"/>
          <w:rtl/>
          <w:lang w:bidi="ar-EG"/>
        </w:rPr>
        <w:t xml:space="preserve"> قلم كتاب المحكمة التأديبية </w:t>
      </w:r>
      <w:r w:rsidR="008E5DAE">
        <w:rPr>
          <w:rFonts w:ascii="Traditional Arabic" w:hAnsi="Traditional Arabic" w:cstheme="minorBidi" w:hint="cs"/>
          <w:sz w:val="40"/>
          <w:szCs w:val="32"/>
          <w:rtl/>
          <w:lang w:bidi="ar-EG"/>
        </w:rPr>
        <w:t>بالمنيا</w:t>
      </w:r>
      <w:r>
        <w:rPr>
          <w:rFonts w:ascii="Traditional Arabic" w:hAnsi="Traditional Arabic" w:cstheme="minorBidi"/>
          <w:sz w:val="40"/>
          <w:szCs w:val="32"/>
          <w:rtl/>
          <w:lang w:bidi="ar-EG"/>
        </w:rPr>
        <w:t xml:space="preserve"> بتاريخ 30/9/2021 وقُيدت بجدولها العام برقم 228 لسنة 6 ق، وطلبت في ختامها الحُكم بقبول الطعن شكلًا، وفي الموضوع بإلغاء القرار المطعون فيه والصادر بتاريخ 15/7/2021 فيما تضمنه من مجازاة الطاعنة بعقوبة التنبيه وما ترتب عليه من آثار.</w:t>
      </w:r>
    </w:p>
    <w:p w:rsidR="00E44C68" w:rsidRDefault="00E44C68" w:rsidP="00E44C68">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 xml:space="preserve">وذكرت الطاعنة شرحًا لطعنها أنها تعمل بوظيفة أستاذ بقسم الإرشاد السياحي  بكُلية السياحة والفنادق بجامعة المنيا،  وبتاريخ 1/8/2021 نما إلى علمها صدور القرار المطعون عليه 833 لسنة 2021 بتوقيع عقوبة التنبيه عليها لقيامها بوضع لافتة </w:t>
      </w:r>
      <w:r w:rsidR="00067FEF">
        <w:rPr>
          <w:rFonts w:ascii="Traditional Arabic" w:hAnsi="Traditional Arabic" w:cstheme="minorBidi" w:hint="cs"/>
          <w:sz w:val="40"/>
          <w:szCs w:val="32"/>
          <w:rtl/>
          <w:lang w:bidi="ar-EG"/>
        </w:rPr>
        <w:t>باسمها</w:t>
      </w:r>
      <w:r>
        <w:rPr>
          <w:rFonts w:ascii="Traditional Arabic" w:hAnsi="Traditional Arabic" w:cstheme="minorBidi"/>
          <w:sz w:val="40"/>
          <w:szCs w:val="32"/>
          <w:rtl/>
          <w:lang w:bidi="ar-EG"/>
        </w:rPr>
        <w:t xml:space="preserve"> علي المكتب التي تشغله بالكُلية، فتقدمت بتاريخ 22/8/2021 بتظلم من هذا القرار ألا إن الجهة الإدارية لم تجبها سواء بالقبول أو بالرفض فتقدمت بطلب إلى لجنة التوفيق في المُنازعات ثم قامت </w:t>
      </w:r>
      <w:r w:rsidR="00067FEF">
        <w:rPr>
          <w:rFonts w:ascii="Traditional Arabic" w:hAnsi="Traditional Arabic" w:cstheme="minorBidi" w:hint="cs"/>
          <w:sz w:val="40"/>
          <w:szCs w:val="32"/>
          <w:rtl/>
          <w:lang w:bidi="ar-EG"/>
        </w:rPr>
        <w:t>بإقامة</w:t>
      </w:r>
      <w:r>
        <w:rPr>
          <w:rFonts w:ascii="Traditional Arabic" w:hAnsi="Traditional Arabic" w:cstheme="minorBidi"/>
          <w:sz w:val="40"/>
          <w:szCs w:val="32"/>
          <w:rtl/>
          <w:lang w:bidi="ar-EG"/>
        </w:rPr>
        <w:t xml:space="preserve"> طعنها الماثل بغية الحُكم لها بما سلف من طلبات. </w:t>
      </w:r>
    </w:p>
    <w:p w:rsidR="00E44C68" w:rsidRDefault="00E44C68" w:rsidP="00E44C68">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 xml:space="preserve">وتُدوول نظر الطعن لدي المحكمة التأديبية </w:t>
      </w:r>
      <w:r w:rsidR="00067FEF">
        <w:rPr>
          <w:rFonts w:ascii="Traditional Arabic" w:hAnsi="Traditional Arabic" w:cstheme="minorBidi" w:hint="cs"/>
          <w:sz w:val="40"/>
          <w:szCs w:val="32"/>
          <w:rtl/>
          <w:lang w:bidi="ar-EG"/>
        </w:rPr>
        <w:t>بالمنيا</w:t>
      </w:r>
      <w:r>
        <w:rPr>
          <w:rFonts w:ascii="Traditional Arabic" w:hAnsi="Traditional Arabic" w:cstheme="minorBidi"/>
          <w:sz w:val="40"/>
          <w:szCs w:val="32"/>
          <w:rtl/>
          <w:lang w:bidi="ar-EG"/>
        </w:rPr>
        <w:t xml:space="preserve"> حسبما هو ثابت بمحاضر جلساتها وبجلسة 4/1/2022 حكمت المحكمة بعدم </w:t>
      </w:r>
      <w:r w:rsidR="00067FEF">
        <w:rPr>
          <w:rFonts w:ascii="Traditional Arabic" w:hAnsi="Traditional Arabic" w:cstheme="minorBidi" w:hint="cs"/>
          <w:sz w:val="40"/>
          <w:szCs w:val="32"/>
          <w:rtl/>
          <w:lang w:bidi="ar-EG"/>
        </w:rPr>
        <w:t>اختصاصها</w:t>
      </w:r>
      <w:r>
        <w:rPr>
          <w:rFonts w:ascii="Traditional Arabic" w:hAnsi="Traditional Arabic" w:cstheme="minorBidi"/>
          <w:sz w:val="40"/>
          <w:szCs w:val="32"/>
          <w:rtl/>
          <w:lang w:bidi="ar-EG"/>
        </w:rPr>
        <w:t xml:space="preserve"> نوعيًا بنظر الطعن وأمرت بإحالته بحالته إلى المحكمة التأديبية لمستوي الإدارة العُليا للاختصاص، ونفاذاّ لهذا أحيل الطعن إلى هذه المحكمة حيث قُيد بجدولها العام بالرقم المُبَيّن بصدر هذا الحكم.</w:t>
      </w:r>
    </w:p>
    <w:p w:rsidR="00E44C68" w:rsidRDefault="00E44C68" w:rsidP="00E44C68">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وتحدد لنظر الطعن أمام هذه المحكمة جلسة 27/4/2022، وتداولت المحكمة نظر الطعن على النحو الثابت بمحاضر جلساتها، حيث قدم الحاضر عن الطاعنة حافظة مُستندات طويت علي المدون بغلافها ومذكرة دفاع، كما قدم الحاضر عن الجامعة حافظة مُستندات طويت علي المدون بغلافها وبجلسة 6/7/2022  قررت المحكمة حجز الطعن للحكم بجلسة اليوم وفيها صدر الحُكم وأودعت مسودته المُشتملة عَلَى أسبابه ومنطوقه عند النطق به.</w:t>
      </w:r>
    </w:p>
    <w:p w:rsidR="00E44C68" w:rsidRPr="00067FEF" w:rsidRDefault="00E44C68" w:rsidP="00067FEF">
      <w:pPr>
        <w:bidi/>
        <w:spacing w:before="120" w:after="120"/>
        <w:ind w:hanging="24"/>
        <w:jc w:val="center"/>
        <w:rPr>
          <w:rFonts w:ascii="Traditional Arabic" w:hAnsi="Traditional Arabic" w:cstheme="minorBidi"/>
          <w:bCs/>
          <w:sz w:val="40"/>
          <w:szCs w:val="32"/>
          <w:u w:val="single"/>
          <w:rtl/>
          <w:lang w:bidi="ar-EG"/>
        </w:rPr>
      </w:pPr>
      <w:r w:rsidRPr="00067FEF">
        <w:rPr>
          <w:rFonts w:ascii="Traditional Arabic" w:hAnsi="Traditional Arabic" w:cstheme="minorBidi"/>
          <w:bCs/>
          <w:sz w:val="40"/>
          <w:szCs w:val="32"/>
          <w:u w:val="single"/>
          <w:rtl/>
          <w:lang w:bidi="ar-EG"/>
        </w:rPr>
        <w:lastRenderedPageBreak/>
        <w:t>المحكمة</w:t>
      </w:r>
    </w:p>
    <w:p w:rsidR="00E44C68" w:rsidRDefault="00E44C68" w:rsidP="00E44C68">
      <w:pPr>
        <w:bidi/>
        <w:spacing w:before="120" w:after="120"/>
        <w:ind w:firstLine="567"/>
        <w:jc w:val="lowKashida"/>
        <w:rPr>
          <w:rFonts w:ascii="Traditional Arabic" w:hAnsi="Traditional Arabic" w:cstheme="minorBidi"/>
          <w:b/>
          <w:sz w:val="40"/>
          <w:szCs w:val="32"/>
          <w:rtl/>
          <w:lang w:bidi="ar-EG"/>
        </w:rPr>
      </w:pPr>
      <w:r>
        <w:rPr>
          <w:rFonts w:ascii="Traditional Arabic" w:hAnsi="Traditional Arabic" w:cstheme="minorBidi"/>
          <w:b/>
          <w:sz w:val="40"/>
          <w:szCs w:val="32"/>
          <w:rtl/>
          <w:lang w:bidi="ar-EG"/>
        </w:rPr>
        <w:t>بعد الاطلاع على الأوراق وسماع الإيضاحات والمداولة قانونًا.</w:t>
      </w:r>
    </w:p>
    <w:p w:rsidR="00E44C68" w:rsidRDefault="00E44C68" w:rsidP="00E44C68">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t xml:space="preserve">ومِنَ حيثُ إن حقيقة طلبات الطاعنة هي الحُكم بقبول طعنها شكلا وفى الموضوع بإلغاء قرار رئيس جامعة المنيا رقم 833 لسنة 2021 الصادر بتاريخ 1/8/2021 فيما تضمنه من مجازاتها بعقوبة التنبيه مع ما يترتب على ذلك من آثار وإلزام الجهة الإدارية بالمصروفات.  </w:t>
      </w:r>
    </w:p>
    <w:p w:rsidR="00E44C68" w:rsidRDefault="00E44C68" w:rsidP="00E44C68">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ومن حيثُ إن القرار المطعون فيه صدر بتاريخ 1/8/2021 فقامت الطاعنة بالتظلم منه بتاريخ 22/8/2021، وتقدمت إلى لجنة التوفيق بالطلب رقم 436 لسنة 2021 في 24/8/202، وإذ أقامت الطاعنة طعنها الماثل بتاريخ  30/9/2021، فإنه يكون مقامًا في الميعاد المقرر قانونًا، ولما كان الطعن قد استوفى سائر أوضاعه الشكُلية الأخرى المقررة قانونًا، فمن ثم يتعين القضاء بقبوله شكلًا.</w:t>
      </w:r>
    </w:p>
    <w:p w:rsidR="00E44C68" w:rsidRDefault="00E44C68" w:rsidP="00E44C68">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ومن حيثُ إن وقائع الطعن الماثل  تتلخص في الشكوي المقدمة من </w:t>
      </w:r>
      <w:r w:rsidR="00067FEF">
        <w:rPr>
          <w:rFonts w:ascii="Traditional Arabic" w:hAnsi="Traditional Arabic" w:cstheme="minorBidi" w:hint="cs"/>
          <w:sz w:val="40"/>
          <w:szCs w:val="32"/>
          <w:rtl/>
        </w:rPr>
        <w:t>الأستاذة</w:t>
      </w:r>
      <w:r>
        <w:rPr>
          <w:rFonts w:ascii="Traditional Arabic" w:hAnsi="Traditional Arabic" w:cstheme="minorBidi"/>
          <w:sz w:val="40"/>
          <w:szCs w:val="32"/>
          <w:rtl/>
        </w:rPr>
        <w:t xml:space="preserve"> الدكتورة عميدة كُلية السياحة والفنادق ضد الطاعنة للتحقيق معها بشأن قيامها بتركيب لوحة تحمل </w:t>
      </w:r>
      <w:r w:rsidR="00067FEF">
        <w:rPr>
          <w:rFonts w:ascii="Traditional Arabic" w:hAnsi="Traditional Arabic" w:cstheme="minorBidi" w:hint="cs"/>
          <w:sz w:val="40"/>
          <w:szCs w:val="32"/>
          <w:rtl/>
        </w:rPr>
        <w:t>اسمها</w:t>
      </w:r>
      <w:r>
        <w:rPr>
          <w:rFonts w:ascii="Traditional Arabic" w:hAnsi="Traditional Arabic" w:cstheme="minorBidi"/>
          <w:sz w:val="40"/>
          <w:szCs w:val="32"/>
          <w:rtl/>
        </w:rPr>
        <w:t xml:space="preserve"> دون الرجوع إلى إدارة الكُلية مخالفة بذلك قررا مجلس الكُلية بشأن نزع ممتلكات الكُلية أو وضع يافطة بدون الحصول علي موافقة إدارة الكُلية، لذا فقد تم إحالة الطاعنة للتحقيق بمعرفة المحقق القانوني للجامعة والذي </w:t>
      </w:r>
      <w:r w:rsidR="00067FEF">
        <w:rPr>
          <w:rFonts w:ascii="Traditional Arabic" w:hAnsi="Traditional Arabic" w:cstheme="minorBidi" w:hint="cs"/>
          <w:sz w:val="40"/>
          <w:szCs w:val="32"/>
          <w:rtl/>
        </w:rPr>
        <w:t>انتهي</w:t>
      </w:r>
      <w:r>
        <w:rPr>
          <w:rFonts w:ascii="Traditional Arabic" w:hAnsi="Traditional Arabic" w:cstheme="minorBidi"/>
          <w:sz w:val="40"/>
          <w:szCs w:val="32"/>
          <w:rtl/>
        </w:rPr>
        <w:t xml:space="preserve"> في ختام تحقيقاته إلى ثبوت المُخالفة قبل الطاعنة، والتوصية بمجازاتها بعقوبة التنبيه، وعلي إثر ذلك صدر القرار المطعون فيه رقم 833 لسنة 2021 بمجازاة الطاعنة بعقوبة التنبيه.</w:t>
      </w:r>
    </w:p>
    <w:p w:rsidR="00E44C68" w:rsidRDefault="00E44C68" w:rsidP="00E44C68">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b/>
          <w:sz w:val="40"/>
          <w:szCs w:val="32"/>
          <w:rtl/>
        </w:rPr>
        <w:t xml:space="preserve">ومن حيثُ إن </w:t>
      </w:r>
      <w:r>
        <w:rPr>
          <w:rFonts w:ascii="Traditional Arabic" w:hAnsi="Traditional Arabic" w:cstheme="minorBidi"/>
          <w:sz w:val="40"/>
          <w:szCs w:val="32"/>
          <w:rtl/>
        </w:rPr>
        <w:t xml:space="preserve">المادة (64) من قانون تنظيم الجامعات الصادر بالقانون رقم 49 لسنة 1972 تنص على أن (أعضاء هيئة التدريس في الجامعات الخاضعة لهذا القانون هم: - </w:t>
      </w:r>
    </w:p>
    <w:p w:rsidR="00E44C68" w:rsidRDefault="00E44C68" w:rsidP="00E44C68">
      <w:pPr>
        <w:pStyle w:val="a9"/>
        <w:numPr>
          <w:ilvl w:val="0"/>
          <w:numId w:val="39"/>
        </w:numPr>
        <w:bidi/>
        <w:spacing w:before="120" w:after="120"/>
        <w:ind w:left="0" w:firstLine="567"/>
        <w:jc w:val="lowKashida"/>
        <w:rPr>
          <w:rFonts w:ascii="Traditional Arabic" w:hAnsi="Traditional Arabic" w:cstheme="minorBidi"/>
          <w:sz w:val="40"/>
          <w:szCs w:val="32"/>
          <w:rtl/>
        </w:rPr>
      </w:pPr>
      <w:r>
        <w:rPr>
          <w:rFonts w:ascii="Traditional Arabic" w:hAnsi="Traditional Arabic" w:cstheme="minorBidi"/>
          <w:sz w:val="40"/>
          <w:szCs w:val="32"/>
          <w:rtl/>
        </w:rPr>
        <w:t>الأساتذة   (ب) الأساتذة المساعدين   (ج) المدرسون.</w:t>
      </w:r>
    </w:p>
    <w:p w:rsidR="00E44C68" w:rsidRDefault="00E44C68" w:rsidP="00E44C68">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وتنص المادة (105) من ذات القانون على أن (يكلف رئيس الجامعة احد أعضاء هيئة التدريس في كُلية الحقوق بالجامعة أو بإحدى كُليات الحقوق إذا لم توجد بالجامعة كُلية حقوق بمباشرة التحقيق فيما ينسب إلى عضو هيئة التدريس،  ويجب ألا تقل درجة من يكلف بالتحقيق عن درجة من يجرى  التحقيق معه. ويُقدم عن التحقيق تقرير إلى رئيس الجامعة، ولوزير التعليم العالي أن يطلب إبلاغه هذا التقرير.</w:t>
      </w:r>
    </w:p>
    <w:p w:rsidR="00E44C68" w:rsidRDefault="00E44C68" w:rsidP="00E44C68">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ولرئيس الجامعة بعد الاطلاع على التقرير أن يحفظ التحقيق أو أن يأمر بإحالة العضو المحقق معه إلى مجلس التأديب إذ رأي محلا لذلك أو أن يكتفي بتوقيع عقوبة في حدود ما تقرره المادة "112")</w:t>
      </w:r>
    </w:p>
    <w:p w:rsidR="00E44C68" w:rsidRDefault="00E44C68" w:rsidP="00E44C68">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وتنص المادة (112) من القانون المُشار إليه على أن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E44C68" w:rsidRDefault="00E44C68" w:rsidP="00E44C68">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ونزولًا علي مقتضي ما تقدم ولما كان الثابت من الأوراق وما سطره التحقيق الإداري الذي أجري مع الطاعنة </w:t>
      </w:r>
      <w:r>
        <w:rPr>
          <w:rFonts w:ascii="Traditional Arabic" w:hAnsi="Traditional Arabic" w:cstheme="minorBidi"/>
          <w:sz w:val="40"/>
          <w:szCs w:val="32"/>
          <w:rtl/>
          <w:lang w:bidi="ar-EG"/>
        </w:rPr>
        <w:t>أ</w:t>
      </w:r>
      <w:r>
        <w:rPr>
          <w:rFonts w:ascii="Traditional Arabic" w:hAnsi="Traditional Arabic" w:cstheme="minorBidi"/>
          <w:sz w:val="40"/>
          <w:szCs w:val="32"/>
          <w:rtl/>
        </w:rPr>
        <w:t xml:space="preserve">نه قد نُسب إليها مخالفة قرار مجلس الكُلية بتركيب يافطة </w:t>
      </w:r>
      <w:r w:rsidR="00067FEF">
        <w:rPr>
          <w:rFonts w:ascii="Traditional Arabic" w:hAnsi="Traditional Arabic" w:cstheme="minorBidi" w:hint="cs"/>
          <w:sz w:val="40"/>
          <w:szCs w:val="32"/>
          <w:rtl/>
        </w:rPr>
        <w:t>باسمها</w:t>
      </w:r>
      <w:r>
        <w:rPr>
          <w:rFonts w:ascii="Traditional Arabic" w:hAnsi="Traditional Arabic" w:cstheme="minorBidi"/>
          <w:sz w:val="40"/>
          <w:szCs w:val="32"/>
          <w:rtl/>
        </w:rPr>
        <w:t xml:space="preserve"> دون الحصول علي موافقة مسبقة من </w:t>
      </w:r>
      <w:r w:rsidR="00067FEF">
        <w:rPr>
          <w:rFonts w:ascii="Traditional Arabic" w:hAnsi="Traditional Arabic" w:cstheme="minorBidi" w:hint="cs"/>
          <w:sz w:val="40"/>
          <w:szCs w:val="32"/>
          <w:rtl/>
        </w:rPr>
        <w:t>إدارة</w:t>
      </w:r>
      <w:r>
        <w:rPr>
          <w:rFonts w:ascii="Traditional Arabic" w:hAnsi="Traditional Arabic" w:cstheme="minorBidi"/>
          <w:sz w:val="40"/>
          <w:szCs w:val="32"/>
          <w:rtl/>
        </w:rPr>
        <w:t xml:space="preserve"> الكُلية. </w:t>
      </w:r>
    </w:p>
    <w:p w:rsidR="00E44C68" w:rsidRDefault="00E44C68" w:rsidP="00E44C68">
      <w:pPr>
        <w:bidi/>
        <w:spacing w:before="120" w:after="120"/>
        <w:ind w:firstLine="567"/>
        <w:jc w:val="lowKashida"/>
        <w:rPr>
          <w:rFonts w:ascii="Traditional Arabic" w:hAnsi="Traditional Arabic" w:cstheme="minorBidi"/>
          <w:sz w:val="40"/>
          <w:szCs w:val="32"/>
        </w:rPr>
      </w:pPr>
      <w:r>
        <w:rPr>
          <w:rFonts w:ascii="Traditional Arabic" w:hAnsi="Traditional Arabic" w:cstheme="minorBidi"/>
          <w:sz w:val="40"/>
          <w:szCs w:val="32"/>
          <w:rtl/>
        </w:rPr>
        <w:t xml:space="preserve">ومن حيثُ إن الطاعنة قررت في التحقيقات لدى مواجهتها بالمُخالفة المنسوبة إليها أنها كانت معارة للعمل بالخارج بالمملكة العربية السعودية وأنها </w:t>
      </w:r>
      <w:r w:rsidR="00067FEF">
        <w:rPr>
          <w:rFonts w:ascii="Traditional Arabic" w:hAnsi="Traditional Arabic" w:cstheme="minorBidi" w:hint="cs"/>
          <w:sz w:val="40"/>
          <w:szCs w:val="32"/>
          <w:rtl/>
        </w:rPr>
        <w:t>استلمت</w:t>
      </w:r>
      <w:r>
        <w:rPr>
          <w:rFonts w:ascii="Traditional Arabic" w:hAnsi="Traditional Arabic" w:cstheme="minorBidi"/>
          <w:sz w:val="40"/>
          <w:szCs w:val="32"/>
          <w:rtl/>
        </w:rPr>
        <w:t xml:space="preserve"> العمل في عام 2019 وأن القرار المُشار إليه والخاص بعدم وضع يافطة بدون </w:t>
      </w:r>
      <w:r w:rsidR="00067FEF">
        <w:rPr>
          <w:rFonts w:ascii="Traditional Arabic" w:hAnsi="Traditional Arabic" w:cstheme="minorBidi" w:hint="cs"/>
          <w:sz w:val="40"/>
          <w:szCs w:val="32"/>
          <w:rtl/>
        </w:rPr>
        <w:t>استئذان</w:t>
      </w:r>
      <w:r>
        <w:rPr>
          <w:rFonts w:ascii="Traditional Arabic" w:hAnsi="Traditional Arabic" w:cstheme="minorBidi"/>
          <w:sz w:val="40"/>
          <w:szCs w:val="32"/>
          <w:rtl/>
        </w:rPr>
        <w:t xml:space="preserve"> صدر بتاريخ 13/2/2018 أي قبل عودتها من الإعارة، </w:t>
      </w:r>
      <w:r w:rsidR="00067FEF">
        <w:rPr>
          <w:rFonts w:ascii="Traditional Arabic" w:hAnsi="Traditional Arabic" w:cstheme="minorBidi" w:hint="cs"/>
          <w:sz w:val="40"/>
          <w:szCs w:val="32"/>
          <w:rtl/>
        </w:rPr>
        <w:t>وأنها</w:t>
      </w:r>
      <w:r>
        <w:rPr>
          <w:rFonts w:ascii="Traditional Arabic" w:hAnsi="Traditional Arabic" w:cstheme="minorBidi"/>
          <w:sz w:val="40"/>
          <w:szCs w:val="32"/>
          <w:rtl/>
        </w:rPr>
        <w:t xml:space="preserve"> </w:t>
      </w:r>
      <w:r>
        <w:rPr>
          <w:rFonts w:ascii="Traditional Arabic" w:hAnsi="Traditional Arabic" w:cstheme="minorBidi"/>
          <w:sz w:val="40"/>
          <w:szCs w:val="32"/>
          <w:rtl/>
        </w:rPr>
        <w:lastRenderedPageBreak/>
        <w:t xml:space="preserve">طلبت من معاون الكُلية </w:t>
      </w:r>
      <w:r w:rsidR="00067FEF">
        <w:rPr>
          <w:rFonts w:ascii="Traditional Arabic" w:hAnsi="Traditional Arabic" w:cstheme="minorBidi" w:hint="cs"/>
          <w:sz w:val="40"/>
          <w:szCs w:val="32"/>
          <w:rtl/>
        </w:rPr>
        <w:t>الأستاذ</w:t>
      </w:r>
      <w:r>
        <w:rPr>
          <w:rFonts w:ascii="Traditional Arabic" w:hAnsi="Traditional Arabic" w:cstheme="minorBidi"/>
          <w:sz w:val="40"/>
          <w:szCs w:val="32"/>
          <w:rtl/>
        </w:rPr>
        <w:t xml:space="preserve"> شعبان وضع اليافطة علي المكتب ولم يطلب مني الاستئذان من أحد ولا يوجد علم لدي بالقرار المُشار إليه وانه يوجد عدد من </w:t>
      </w:r>
      <w:r w:rsidR="00067FEF">
        <w:rPr>
          <w:rFonts w:ascii="Traditional Arabic" w:hAnsi="Traditional Arabic" w:cstheme="minorBidi" w:hint="cs"/>
          <w:sz w:val="40"/>
          <w:szCs w:val="32"/>
          <w:rtl/>
        </w:rPr>
        <w:t>الأساتذة</w:t>
      </w:r>
      <w:r>
        <w:rPr>
          <w:rFonts w:ascii="Traditional Arabic" w:hAnsi="Traditional Arabic" w:cstheme="minorBidi"/>
          <w:sz w:val="40"/>
          <w:szCs w:val="32"/>
          <w:rtl/>
        </w:rPr>
        <w:t xml:space="preserve"> واضعين لافتات علي مكاتبهم.</w:t>
      </w:r>
    </w:p>
    <w:p w:rsidR="00E44C68" w:rsidRDefault="00E44C68" w:rsidP="00E44C68">
      <w:pPr>
        <w:tabs>
          <w:tab w:val="center" w:pos="-1054"/>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وإذ استقرّ قضاء المحكمة الإدارية العُليا على أن 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ارتكب المُخالفة محل المساءلة التأديبية - فإذا انتفى هذا المسلك الإيجابي أو السلبي فإنه لا يٌمكن مساءلة العامل عما نسب إليه باعتبار أن المسئولية التأديبية قوامها خطأ ثابت في حق العامل على وجه اليقين</w:t>
      </w:r>
      <w:r>
        <w:rPr>
          <w:rFonts w:ascii="Traditional Arabic" w:hAnsi="Traditional Arabic" w:cstheme="minorBidi"/>
          <w:sz w:val="40"/>
          <w:szCs w:val="32"/>
        </w:rPr>
        <w:t>.</w:t>
      </w:r>
      <w:r>
        <w:rPr>
          <w:rFonts w:ascii="Traditional Arabic" w:hAnsi="Traditional Arabic" w:cstheme="minorBidi"/>
          <w:sz w:val="40"/>
          <w:szCs w:val="32"/>
          <w:rtl/>
        </w:rPr>
        <w:t xml:space="preserve"> </w:t>
      </w:r>
      <w:r>
        <w:rPr>
          <w:rFonts w:ascii="Traditional Arabic" w:hAnsi="Traditional Arabic" w:cstheme="minorBidi" w:hint="cs"/>
          <w:sz w:val="40"/>
          <w:szCs w:val="32"/>
          <w:rtl/>
        </w:rPr>
        <w:t>وأن الدقة والأمانة المتطلبة من الموظف العام تقتضيه أن يبذل أقصى درجات الحرص على أن يكون أداؤه للعمل صادرًا عن يقظة وتبصر بحيث يتحرى في كل إجراء يقوم باتخاذه ما يجب أن يكون عليه الرجل الحريص من حذر وتحذر. إذا ثبت في حق الموظف أنه قد أدى عمله باستخفاف أو غفلة أو لا مبالاة كان خارجا بذلك عن واجب أداء العمل بدقة وأمانة ومن ثم يكون مرتكبا لمخالفة تأديبية تستوجب المساءلة ولو كان الموظف حسن النية سليم الطوية. الخطأ التأديبي المتمثل في مخالفة واجب أداء العمل بدقة وأمانة لا يتطلب عنصر العمد وإنما يتحقق بمجرد إغفال أداء الواجب الوظيفي على الوجه المطلوب</w:t>
      </w:r>
      <w:r>
        <w:rPr>
          <w:rFonts w:ascii="Traditional Arabic" w:hAnsi="Traditional Arabic" w:cstheme="minorBidi"/>
          <w:sz w:val="40"/>
          <w:szCs w:val="32"/>
        </w:rPr>
        <w:t>.</w:t>
      </w:r>
      <w:r>
        <w:rPr>
          <w:rFonts w:ascii="Traditional Arabic" w:hAnsi="Traditional Arabic" w:cstheme="minorBidi"/>
          <w:sz w:val="40"/>
          <w:szCs w:val="32"/>
          <w:rtl/>
        </w:rPr>
        <w:t xml:space="preserve"> {المحكمة الإدارية العُليا في الطعن رقم 80135 </w:t>
      </w:r>
      <w:r>
        <w:rPr>
          <w:rFonts w:ascii="Traditional Arabic" w:hAnsi="Traditional Arabic" w:cstheme="minorBidi"/>
          <w:sz w:val="40"/>
          <w:szCs w:val="32"/>
        </w:rPr>
        <w:t xml:space="preserve"> </w:t>
      </w:r>
      <w:r>
        <w:rPr>
          <w:rFonts w:ascii="Traditional Arabic" w:hAnsi="Traditional Arabic" w:cstheme="minorBidi"/>
          <w:sz w:val="40"/>
          <w:szCs w:val="32"/>
          <w:rtl/>
        </w:rPr>
        <w:t>لسنة 65 ق ع بجلسة 26/6/2021}.</w:t>
      </w:r>
    </w:p>
    <w:p w:rsidR="00E44C68" w:rsidRDefault="00E44C68" w:rsidP="00E44C68">
      <w:pPr>
        <w:tabs>
          <w:tab w:val="center" w:pos="-1054"/>
        </w:tabs>
        <w:bidi/>
        <w:spacing w:before="120" w:after="120"/>
        <w:ind w:firstLine="567"/>
        <w:jc w:val="lowKashida"/>
        <w:rPr>
          <w:rFonts w:ascii="Traditional Arabic" w:hAnsi="Traditional Arabic" w:cstheme="minorBidi"/>
          <w:sz w:val="40"/>
          <w:szCs w:val="32"/>
        </w:rPr>
      </w:pPr>
      <w:r>
        <w:rPr>
          <w:rFonts w:ascii="Traditional Arabic" w:hAnsi="Traditional Arabic" w:cstheme="minorBidi"/>
          <w:sz w:val="40"/>
          <w:szCs w:val="32"/>
          <w:rtl/>
        </w:rPr>
        <w:t xml:space="preserve">وأنه من المبادئ الأساسية في المسئولية العقابية سواء كانت جنائية أو تأديبية وجوب الثبوت اليقيني لوقوع الفعل المؤثم من المتهم، وأن يقوم هذا الثبوت على أساس توافر أدلة كافية لتكوين عقُيدة المحكمة يقينيا في ارتكاب المتهم الفعل المنسوب إليه، ولا يسوغ أن تقوم </w:t>
      </w:r>
      <w:r w:rsidR="00067FEF">
        <w:rPr>
          <w:rFonts w:ascii="Traditional Arabic" w:hAnsi="Traditional Arabic" w:cstheme="minorBidi" w:hint="cs"/>
          <w:sz w:val="40"/>
          <w:szCs w:val="32"/>
          <w:rtl/>
        </w:rPr>
        <w:t>الإدانة</w:t>
      </w:r>
      <w:r>
        <w:rPr>
          <w:rFonts w:ascii="Traditional Arabic" w:hAnsi="Traditional Arabic" w:cstheme="minorBidi"/>
          <w:sz w:val="40"/>
          <w:szCs w:val="32"/>
          <w:rtl/>
        </w:rPr>
        <w:t xml:space="preserve"> تأسيسًا على أدلةٍ مشكوكٍ في صحتها أو في دلالتها وإلا كانت تلك الأدلة مزعزعة الأساس متناقضة المضمون مفرغة من ثبات اليقين، وما دام الأصل في هذا الشأن هو البراءة فإذا ما شاب الشك وقوع الفعل أو نسبته إلى فاعله فتعين تفسير الشك لصالحه، وحمل أمره على الأصل العام وهو البراءة التي ينعم بها الإنسان ولا تنفك عنه باعتبارها أحد أهم المبادئ التي كفلتها الدساتير ومن قبلها الشرائع السماوية</w:t>
      </w:r>
      <w:r>
        <w:rPr>
          <w:rFonts w:ascii="Traditional Arabic" w:hAnsi="Traditional Arabic" w:cstheme="minorBidi"/>
          <w:sz w:val="40"/>
          <w:szCs w:val="32"/>
        </w:rPr>
        <w:t>.</w:t>
      </w:r>
      <w:r>
        <w:rPr>
          <w:rFonts w:ascii="Traditional Arabic" w:hAnsi="Traditional Arabic" w:cstheme="minorBidi"/>
          <w:sz w:val="40"/>
          <w:szCs w:val="32"/>
          <w:rtl/>
        </w:rPr>
        <w:t xml:space="preserve"> {المحكمة الإدارية العُليا في الطعن رقم 70743 </w:t>
      </w:r>
      <w:r>
        <w:rPr>
          <w:rFonts w:ascii="Traditional Arabic" w:hAnsi="Traditional Arabic" w:cstheme="minorBidi"/>
          <w:sz w:val="40"/>
          <w:szCs w:val="32"/>
        </w:rPr>
        <w:t xml:space="preserve"> </w:t>
      </w:r>
      <w:r>
        <w:rPr>
          <w:rFonts w:ascii="Traditional Arabic" w:hAnsi="Traditional Arabic" w:cstheme="minorBidi"/>
          <w:sz w:val="40"/>
          <w:szCs w:val="32"/>
          <w:rtl/>
        </w:rPr>
        <w:t>لسنة 63 ق ع بجلسة 16/3/2019}.</w:t>
      </w:r>
    </w:p>
    <w:p w:rsidR="00E44C68" w:rsidRDefault="00E44C68" w:rsidP="00E44C68">
      <w:pPr>
        <w:tabs>
          <w:tab w:val="center" w:pos="-1054"/>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وأنّه لا إلزام على المحكمة التأديبية أن تشير في حكمها إلى كل ورقة أو مستند يُقدم إليها فحسبها لصحة حكمها أن تشير فقط إلى ما تستند إليه فيما ينتهي إليه قضائها. إذ للمحكمة كامل الحرية في تقدير ما تأخذ به مما يُقدم إليها من مُستندات وما تطرحه منها بما لا يسوغ معه للطاعن الاستمساك ببطلان الحُكم بمقالة إخلاله بحق الدفاع بإهدار بعض المُستندات وعدم التعويل عليها أو على ما شهد به بعض الشهود في التحقيقات ما دام الحُكم قد أبرز إجمالي الحجج التي كونت قضاءه طارحا بذلك ضمنًا الأسانيد التي قام عليها دفاع الطاعن، فالقاضي التأديبي بما يتمتع به من حرية الإثبات غير ملزم باتباع طرق معينه فهو الذي يُحدد طرق الإثبات التي قبلها وأدلة الإثبات التي يرتضيها ويبني عليها اقتناعه ويهدر ما يرتاب في أمره أو يخالطه شكًا فيطرحه بعيدًا عن قناعاته التي هي وحدها سند قضائه وركيزة أسبابه</w:t>
      </w:r>
      <w:r>
        <w:rPr>
          <w:rFonts w:ascii="Traditional Arabic" w:hAnsi="Traditional Arabic" w:cstheme="minorBidi"/>
          <w:sz w:val="40"/>
          <w:szCs w:val="32"/>
        </w:rPr>
        <w:t>.</w:t>
      </w:r>
      <w:r>
        <w:rPr>
          <w:rFonts w:ascii="Traditional Arabic" w:hAnsi="Traditional Arabic" w:cstheme="minorBidi"/>
          <w:sz w:val="40"/>
          <w:szCs w:val="32"/>
          <w:rtl/>
        </w:rPr>
        <w:t xml:space="preserve"> {المحكمة الإدارية العُليا في الطعن رقم 62908 </w:t>
      </w:r>
      <w:r>
        <w:rPr>
          <w:rFonts w:ascii="Traditional Arabic" w:hAnsi="Traditional Arabic" w:cstheme="minorBidi"/>
          <w:sz w:val="40"/>
          <w:szCs w:val="32"/>
        </w:rPr>
        <w:t xml:space="preserve"> </w:t>
      </w:r>
      <w:r>
        <w:rPr>
          <w:rFonts w:ascii="Traditional Arabic" w:hAnsi="Traditional Arabic" w:cstheme="minorBidi"/>
          <w:sz w:val="40"/>
          <w:szCs w:val="32"/>
          <w:rtl/>
        </w:rPr>
        <w:t>لسنة 63 ق ع بجلسة 16/1/2021}.</w:t>
      </w:r>
    </w:p>
    <w:p w:rsidR="00E44C68" w:rsidRDefault="00E44C68" w:rsidP="00E44C68">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rPr>
        <w:t xml:space="preserve">ومن حيث أنه بالبناء على ما تقدم ولما كان الثابت يقينًا من </w:t>
      </w:r>
      <w:r w:rsidR="00067FEF">
        <w:rPr>
          <w:rFonts w:ascii="Traditional Arabic" w:hAnsi="Traditional Arabic" w:cstheme="minorBidi" w:hint="cs"/>
          <w:sz w:val="40"/>
          <w:szCs w:val="32"/>
          <w:rtl/>
        </w:rPr>
        <w:t>أوراق</w:t>
      </w:r>
      <w:r>
        <w:rPr>
          <w:rFonts w:ascii="Traditional Arabic" w:hAnsi="Traditional Arabic" w:cstheme="minorBidi"/>
          <w:sz w:val="40"/>
          <w:szCs w:val="32"/>
          <w:rtl/>
        </w:rPr>
        <w:t xml:space="preserve"> الطعن </w:t>
      </w:r>
      <w:r>
        <w:rPr>
          <w:rFonts w:ascii="Traditional Arabic" w:hAnsi="Traditional Arabic" w:cstheme="minorBidi"/>
          <w:sz w:val="40"/>
          <w:szCs w:val="32"/>
        </w:rPr>
        <w:t xml:space="preserve"> </w:t>
      </w:r>
      <w:r>
        <w:rPr>
          <w:rFonts w:ascii="Traditional Arabic" w:hAnsi="Traditional Arabic" w:cstheme="minorBidi"/>
          <w:sz w:val="40"/>
          <w:szCs w:val="32"/>
          <w:rtl/>
          <w:lang w:bidi="ar-EG"/>
        </w:rPr>
        <w:t xml:space="preserve">والتحقيقات أن المُخالفة المنسوبة للطاعنة إنما تتمثل في مخالفة قرار مجلس كُلية السياحة والفنادق بجامعة </w:t>
      </w:r>
      <w:r w:rsidR="00067FEF">
        <w:rPr>
          <w:rFonts w:ascii="Traditional Arabic" w:hAnsi="Traditional Arabic" w:cstheme="minorBidi" w:hint="cs"/>
          <w:sz w:val="40"/>
          <w:szCs w:val="32"/>
          <w:rtl/>
          <w:lang w:bidi="ar-EG"/>
        </w:rPr>
        <w:t>المنيا</w:t>
      </w:r>
      <w:r>
        <w:rPr>
          <w:rFonts w:ascii="Traditional Arabic" w:hAnsi="Traditional Arabic" w:cstheme="minorBidi"/>
          <w:sz w:val="40"/>
          <w:szCs w:val="32"/>
          <w:rtl/>
          <w:lang w:bidi="ar-EG"/>
        </w:rPr>
        <w:t xml:space="preserve"> والذي يحظر تركيب لافتة </w:t>
      </w:r>
      <w:r w:rsidR="00067FEF">
        <w:rPr>
          <w:rFonts w:ascii="Traditional Arabic" w:hAnsi="Traditional Arabic" w:cstheme="minorBidi" w:hint="cs"/>
          <w:sz w:val="40"/>
          <w:szCs w:val="32"/>
          <w:rtl/>
          <w:lang w:bidi="ar-EG"/>
        </w:rPr>
        <w:t>باسم</w:t>
      </w:r>
      <w:r>
        <w:rPr>
          <w:rFonts w:ascii="Traditional Arabic" w:hAnsi="Traditional Arabic" w:cstheme="minorBidi"/>
          <w:sz w:val="40"/>
          <w:szCs w:val="32"/>
          <w:rtl/>
          <w:lang w:bidi="ar-EG"/>
        </w:rPr>
        <w:t xml:space="preserve"> عضو هيئة التدريس علي المكتب المخصص له دون الحصول علي إذن مسبق من إدارة الكُلية. </w:t>
      </w:r>
    </w:p>
    <w:p w:rsidR="00E44C68" w:rsidRDefault="00E44C68" w:rsidP="00E44C68">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lang w:bidi="ar-EG"/>
        </w:rPr>
        <w:lastRenderedPageBreak/>
        <w:t xml:space="preserve">وإذ إن الثابت أن القرار المُشار إليه صدر بتاريخ 13/2/2018 وأن الطاعنة لم تكن علي قوة العمل بكُلية السياحة والفنادق في تلك الفترة، حال كونها معارة للعمل بالمملكة العربية السعودية، وقد </w:t>
      </w:r>
      <w:r w:rsidR="00067FEF">
        <w:rPr>
          <w:rFonts w:ascii="Traditional Arabic" w:hAnsi="Traditional Arabic" w:cstheme="minorBidi" w:hint="cs"/>
          <w:sz w:val="40"/>
          <w:szCs w:val="32"/>
          <w:rtl/>
          <w:lang w:bidi="ar-EG"/>
        </w:rPr>
        <w:t>استلمت</w:t>
      </w:r>
      <w:r>
        <w:rPr>
          <w:rFonts w:ascii="Traditional Arabic" w:hAnsi="Traditional Arabic" w:cstheme="minorBidi"/>
          <w:sz w:val="40"/>
          <w:szCs w:val="32"/>
          <w:rtl/>
          <w:lang w:bidi="ar-EG"/>
        </w:rPr>
        <w:t xml:space="preserve"> العمل في غضون عام 2019. </w:t>
      </w:r>
    </w:p>
    <w:p w:rsidR="00E44C68" w:rsidRDefault="00E44C68" w:rsidP="00E44C68">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lang w:bidi="ar-EG"/>
        </w:rPr>
        <w:t xml:space="preserve">ومن حيثُ إن المحكمة لا تري في مسلك الطاعنة ثمة مخالفة يٌمكن نسبتها إليها تأسيسًا علي إن مخالفتها لهذا القرار المُشار إليه كان بسبب عدم وجودها بالعمل وقت صدور هذا القرار، فضلًا عن أنه لم يثبت من خلال التحقيقات أن الطاعنة عندما طلبت من معاون الكُلية تركيب تلك اللافتة أنه قام بإخطارها بوجوب </w:t>
      </w:r>
      <w:r>
        <w:rPr>
          <w:rFonts w:ascii="Traditional Arabic" w:hAnsi="Traditional Arabic" w:cstheme="minorBidi" w:hint="cs"/>
          <w:sz w:val="40"/>
          <w:szCs w:val="32"/>
          <w:rtl/>
          <w:lang w:bidi="ar-EG"/>
        </w:rPr>
        <w:t>الاستئذان</w:t>
      </w:r>
      <w:r>
        <w:rPr>
          <w:rFonts w:ascii="Traditional Arabic" w:hAnsi="Traditional Arabic" w:cstheme="minorBidi"/>
          <w:sz w:val="40"/>
          <w:szCs w:val="32"/>
          <w:rtl/>
          <w:lang w:bidi="ar-EG"/>
        </w:rPr>
        <w:t xml:space="preserve"> المسبق من إدارة الكُلية وأنها تعمدت مخالفة هذا القرار، بل أفصحت التحقيقات عن وجود مخالفة قبل السيد شعبان معاون الكُلية بتركيب تلك </w:t>
      </w:r>
      <w:r w:rsidR="00067FEF">
        <w:rPr>
          <w:rFonts w:ascii="Traditional Arabic" w:hAnsi="Traditional Arabic" w:cstheme="minorBidi" w:hint="cs"/>
          <w:sz w:val="40"/>
          <w:szCs w:val="32"/>
          <w:rtl/>
          <w:lang w:bidi="ar-EG"/>
        </w:rPr>
        <w:t>اللافت</w:t>
      </w:r>
      <w:r w:rsidR="00067FEF">
        <w:rPr>
          <w:rFonts w:ascii="Traditional Arabic" w:hAnsi="Traditional Arabic" w:cstheme="minorBidi" w:hint="eastAsia"/>
          <w:sz w:val="40"/>
          <w:szCs w:val="32"/>
          <w:rtl/>
          <w:lang w:bidi="ar-EG"/>
        </w:rPr>
        <w:t>ة</w:t>
      </w:r>
      <w:r>
        <w:rPr>
          <w:rFonts w:ascii="Traditional Arabic" w:hAnsi="Traditional Arabic" w:cstheme="minorBidi"/>
          <w:sz w:val="40"/>
          <w:szCs w:val="32"/>
          <w:rtl/>
          <w:lang w:bidi="ar-EG"/>
        </w:rPr>
        <w:t xml:space="preserve"> دون </w:t>
      </w:r>
      <w:r>
        <w:rPr>
          <w:rFonts w:ascii="Traditional Arabic" w:hAnsi="Traditional Arabic" w:cstheme="minorBidi" w:hint="cs"/>
          <w:sz w:val="40"/>
          <w:szCs w:val="32"/>
          <w:rtl/>
          <w:lang w:bidi="ar-EG"/>
        </w:rPr>
        <w:t>استئذان</w:t>
      </w:r>
      <w:r>
        <w:rPr>
          <w:rFonts w:ascii="Traditional Arabic" w:hAnsi="Traditional Arabic" w:cstheme="minorBidi"/>
          <w:sz w:val="40"/>
          <w:szCs w:val="32"/>
          <w:rtl/>
          <w:lang w:bidi="ar-EG"/>
        </w:rPr>
        <w:t xml:space="preserve"> عميدة الكُلية، وهو الأمر الذي يلقي بظلال من الشك والريبة حول نسبة المُخالفة إلى الطاعنة، </w:t>
      </w:r>
      <w:r>
        <w:rPr>
          <w:rFonts w:ascii="Traditional Arabic" w:hAnsi="Traditional Arabic" w:cstheme="minorBidi"/>
          <w:sz w:val="40"/>
          <w:szCs w:val="32"/>
          <w:rtl/>
        </w:rPr>
        <w:t>وإذ أصدرت الجامعة المطعون ضدها القرار المطعون عليه رقم 833 لسنة 2021 متضمنًا مجازاة الطاعنة بعقوبة التنبيه فإنه يكون صادرًا ـ والحال كذلك ـ  مفتقرًا لصحيح أسبابه من القانون والواقع، ويضحي الطعن عليه  قائم على صحيح سنده من القانون جديرًا بالقبول، وهو ما يتعين القضاء به.</w:t>
      </w:r>
    </w:p>
    <w:p w:rsidR="00E44C68" w:rsidRDefault="00E44C68" w:rsidP="00E44C68">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ومن حيثُ إن من يخسر الدعوى يُلزم بمصروفاتها عملا بحكم المادة 184 مرافعات.</w:t>
      </w:r>
    </w:p>
    <w:p w:rsidR="00E44C68" w:rsidRPr="00E44C68" w:rsidRDefault="00E44C68" w:rsidP="00E44C68">
      <w:pPr>
        <w:bidi/>
        <w:spacing w:before="120" w:after="120"/>
        <w:ind w:hanging="24"/>
        <w:jc w:val="center"/>
        <w:rPr>
          <w:rFonts w:ascii="Traditional Arabic" w:hAnsi="Traditional Arabic" w:cstheme="minorBidi"/>
          <w:bCs/>
          <w:sz w:val="40"/>
          <w:szCs w:val="32"/>
          <w:u w:val="single"/>
          <w:rtl/>
          <w:lang w:bidi="ar-EG"/>
        </w:rPr>
      </w:pPr>
      <w:r w:rsidRPr="00E44C68">
        <w:rPr>
          <w:rFonts w:ascii="Traditional Arabic" w:hAnsi="Traditional Arabic" w:cstheme="minorBidi"/>
          <w:bCs/>
          <w:sz w:val="40"/>
          <w:szCs w:val="32"/>
          <w:u w:val="single"/>
          <w:rtl/>
          <w:lang w:bidi="ar-EG"/>
        </w:rPr>
        <w:t>فلهـذه الأسباب</w:t>
      </w:r>
    </w:p>
    <w:p w:rsidR="00A6000E" w:rsidRPr="00E44C68" w:rsidRDefault="00E44C68" w:rsidP="00E44C68">
      <w:pPr>
        <w:bidi/>
        <w:spacing w:before="120" w:after="120"/>
        <w:ind w:firstLine="567"/>
        <w:jc w:val="lowKashida"/>
        <w:rPr>
          <w:rFonts w:ascii="Traditional Arabic" w:hAnsi="Traditional Arabic" w:cstheme="minorBidi"/>
          <w:b/>
          <w:sz w:val="40"/>
          <w:szCs w:val="32"/>
          <w:rtl/>
        </w:rPr>
      </w:pPr>
      <w:r>
        <w:rPr>
          <w:rFonts w:ascii="Traditional Arabic" w:hAnsi="Traditional Arabic" w:cstheme="minorBidi"/>
          <w:b/>
          <w:sz w:val="40"/>
          <w:szCs w:val="32"/>
          <w:rtl/>
        </w:rPr>
        <w:t xml:space="preserve">حكمت المحْكَمَة: - بقبول الطعن شكلًا، وفي الموضوع بإلغاء القرار المطعون عليه الصادر من رئيس جامعة </w:t>
      </w:r>
      <w:r>
        <w:rPr>
          <w:rFonts w:ascii="Traditional Arabic" w:hAnsi="Traditional Arabic" w:cstheme="minorBidi" w:hint="cs"/>
          <w:b/>
          <w:sz w:val="40"/>
          <w:szCs w:val="32"/>
          <w:rtl/>
        </w:rPr>
        <w:t>المنيا</w:t>
      </w:r>
      <w:r>
        <w:rPr>
          <w:rFonts w:ascii="Traditional Arabic" w:hAnsi="Traditional Arabic" w:cstheme="minorBidi"/>
          <w:b/>
          <w:sz w:val="40"/>
          <w:szCs w:val="32"/>
          <w:rtl/>
        </w:rPr>
        <w:t xml:space="preserve"> رقم 833 لسنة 2021 فيما تضمنه من مجازاة الطاعنة بعقوبة التنبيه، علي النحو المُبَيّن بالأسباب، وألزمت الجامعة المطعون ضدها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DF4" w:rsidRDefault="00690DF4">
      <w:r>
        <w:separator/>
      </w:r>
    </w:p>
  </w:endnote>
  <w:endnote w:type="continuationSeparator" w:id="1">
    <w:p w:rsidR="00690DF4" w:rsidRDefault="00690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9333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9333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E5DAE">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DF4" w:rsidRDefault="00690DF4">
      <w:r>
        <w:separator/>
      </w:r>
    </w:p>
  </w:footnote>
  <w:footnote w:type="continuationSeparator" w:id="1">
    <w:p w:rsidR="00690DF4" w:rsidRDefault="00690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E5DAE">
          <w:rPr>
            <w:rFonts w:hint="cs"/>
            <w:sz w:val="28"/>
            <w:szCs w:val="28"/>
            <w:u w:val="single"/>
            <w:rtl/>
            <w:lang w:bidi="ar-EG"/>
          </w:rPr>
          <w:t>في الطعن رقم 93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67FEF"/>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78"/>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0D57"/>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1EA7"/>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0E1E"/>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1D0"/>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0DF4"/>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5DAE"/>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1F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355"/>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332"/>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C68"/>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80953678">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A4121"/>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8F674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D0D9A"/>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1459</Words>
  <Characters>8320</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2022-03-01T15:51:00Z</dcterms:modified>
  <cp:contentStatus>في الطعن رقم 93 لسنة 56 ق.</cp:contentStatus>
</cp:coreProperties>
</file>