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3638B4">
          <w:pPr>
            <w:bidi/>
            <w:jc w:val="center"/>
            <w:rPr>
              <w:rFonts w:ascii="Arial" w:hAnsi="Arial" w:cs="Arial"/>
              <w:sz w:val="32"/>
              <w:szCs w:val="32"/>
              <w:rtl/>
            </w:rPr>
          </w:pPr>
          <w:r>
            <w:rPr>
              <w:rFonts w:ascii="Arial" w:hAnsi="Arial" w:cs="Arial" w:hint="cs"/>
              <w:sz w:val="32"/>
              <w:szCs w:val="32"/>
              <w:rtl/>
              <w:lang w:bidi="ar-EG"/>
            </w:rPr>
            <w:t xml:space="preserve">في الطعن رقم </w:t>
          </w:r>
          <w:r w:rsidR="003638B4">
            <w:rPr>
              <w:rFonts w:ascii="Arial" w:hAnsi="Arial" w:cs="Arial" w:hint="cs"/>
              <w:sz w:val="32"/>
              <w:szCs w:val="32"/>
              <w:rtl/>
              <w:lang w:bidi="ar-EG"/>
            </w:rPr>
            <w:t>136</w:t>
          </w:r>
          <w:r>
            <w:rPr>
              <w:rFonts w:ascii="Arial" w:hAnsi="Arial" w:cs="Arial" w:hint="cs"/>
              <w:sz w:val="32"/>
              <w:szCs w:val="32"/>
              <w:rtl/>
              <w:lang w:bidi="ar-EG"/>
            </w:rPr>
            <w:t xml:space="preserve"> لسنة </w:t>
          </w:r>
          <w:r w:rsidR="003638B4">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638B4" w:rsidRPr="003638B4" w:rsidRDefault="003638B4" w:rsidP="003638B4">
      <w:pPr>
        <w:bidi/>
        <w:jc w:val="center"/>
        <w:outlineLvl w:val="0"/>
        <w:rPr>
          <w:rFonts w:asciiTheme="minorBidi" w:hAnsiTheme="minorBidi" w:hint="cs"/>
          <w:b/>
          <w:bCs/>
          <w:sz w:val="32"/>
          <w:szCs w:val="32"/>
          <w:rtl/>
          <w:lang w:bidi="ar-EG"/>
        </w:rPr>
      </w:pPr>
      <w:r w:rsidRPr="003638B4">
        <w:rPr>
          <w:rFonts w:asciiTheme="minorBidi" w:hAnsiTheme="minorBidi"/>
          <w:b/>
          <w:bCs/>
          <w:sz w:val="32"/>
          <w:szCs w:val="32"/>
          <w:rtl/>
          <w:lang w:bidi="ar-EG"/>
        </w:rPr>
        <w:t>المقام من:</w:t>
      </w:r>
    </w:p>
    <w:p w:rsidR="003638B4" w:rsidRDefault="003638B4" w:rsidP="003638B4">
      <w:pPr>
        <w:bidi/>
        <w:jc w:val="center"/>
        <w:outlineLvl w:val="0"/>
        <w:rPr>
          <w:rFonts w:asciiTheme="minorBidi" w:hAnsiTheme="minorBidi"/>
          <w:sz w:val="32"/>
          <w:szCs w:val="32"/>
          <w:lang w:bidi="ar-EG"/>
        </w:rPr>
      </w:pPr>
      <w:r>
        <w:rPr>
          <w:rFonts w:asciiTheme="minorBidi" w:hAnsiTheme="minorBidi"/>
          <w:sz w:val="32"/>
          <w:szCs w:val="32"/>
          <w:rtl/>
          <w:lang w:bidi="ar-EG"/>
        </w:rPr>
        <w:t>أشرف عبد الله حسن مباشر.</w:t>
      </w:r>
    </w:p>
    <w:p w:rsidR="003638B4" w:rsidRPr="003638B4" w:rsidRDefault="003638B4" w:rsidP="003638B4">
      <w:pPr>
        <w:bidi/>
        <w:jc w:val="center"/>
        <w:outlineLvl w:val="0"/>
        <w:rPr>
          <w:rFonts w:asciiTheme="minorBidi" w:hAnsiTheme="minorBidi" w:hint="cs"/>
          <w:b/>
          <w:bCs/>
          <w:sz w:val="32"/>
          <w:szCs w:val="32"/>
          <w:rtl/>
        </w:rPr>
      </w:pPr>
      <w:r w:rsidRPr="003638B4">
        <w:rPr>
          <w:rFonts w:asciiTheme="minorBidi" w:hAnsiTheme="minorBidi"/>
          <w:b/>
          <w:bCs/>
          <w:sz w:val="32"/>
          <w:szCs w:val="32"/>
          <w:rtl/>
          <w:lang w:bidi="ar-EG"/>
        </w:rPr>
        <w:t>ضــــــــــــــد</w:t>
      </w:r>
      <w:r w:rsidRPr="003638B4">
        <w:rPr>
          <w:rFonts w:asciiTheme="minorBidi" w:hAnsiTheme="minorBidi"/>
          <w:b/>
          <w:bCs/>
          <w:sz w:val="32"/>
          <w:szCs w:val="32"/>
          <w:rtl/>
        </w:rPr>
        <w:t>:</w:t>
      </w:r>
    </w:p>
    <w:p w:rsidR="003638B4" w:rsidRPr="003638B4" w:rsidRDefault="003638B4" w:rsidP="003638B4">
      <w:pPr>
        <w:pStyle w:val="a9"/>
        <w:numPr>
          <w:ilvl w:val="0"/>
          <w:numId w:val="38"/>
        </w:numPr>
        <w:bidi/>
        <w:jc w:val="center"/>
        <w:outlineLvl w:val="0"/>
        <w:rPr>
          <w:rFonts w:asciiTheme="minorBidi" w:hAnsiTheme="minorBidi" w:hint="cs"/>
          <w:sz w:val="32"/>
          <w:szCs w:val="32"/>
          <w:rtl/>
        </w:rPr>
      </w:pPr>
      <w:r w:rsidRPr="003638B4">
        <w:rPr>
          <w:rFonts w:asciiTheme="minorBidi" w:hAnsiTheme="minorBidi"/>
          <w:sz w:val="32"/>
          <w:szCs w:val="32"/>
          <w:rtl/>
        </w:rPr>
        <w:t>رئيس الجهاز المركزي للمحاسبات، بصفته.</w:t>
      </w:r>
    </w:p>
    <w:p w:rsidR="003638B4" w:rsidRPr="003638B4" w:rsidRDefault="003638B4" w:rsidP="003638B4">
      <w:pPr>
        <w:pStyle w:val="a9"/>
        <w:bidi/>
        <w:outlineLvl w:val="0"/>
        <w:rPr>
          <w:rFonts w:asciiTheme="minorBidi" w:hAnsiTheme="minorBidi"/>
          <w:sz w:val="32"/>
          <w:szCs w:val="32"/>
          <w:rtl/>
        </w:rPr>
      </w:pPr>
    </w:p>
    <w:p w:rsidR="003638B4" w:rsidRPr="003638B4" w:rsidRDefault="003638B4" w:rsidP="003638B4">
      <w:pPr>
        <w:overflowPunct w:val="0"/>
        <w:autoSpaceDE w:val="0"/>
        <w:autoSpaceDN w:val="0"/>
        <w:bidi/>
        <w:adjustRightInd w:val="0"/>
        <w:ind w:hanging="24"/>
        <w:textAlignment w:val="baseline"/>
        <w:rPr>
          <w:rFonts w:asciiTheme="minorBidi" w:hAnsiTheme="minorBidi"/>
          <w:b/>
          <w:bCs/>
          <w:sz w:val="32"/>
          <w:szCs w:val="32"/>
          <w:rtl/>
        </w:rPr>
      </w:pPr>
      <w:r w:rsidRPr="003638B4">
        <w:rPr>
          <w:rFonts w:asciiTheme="minorBidi" w:hAnsiTheme="minorBidi"/>
          <w:b/>
          <w:bCs/>
          <w:sz w:val="32"/>
          <w:szCs w:val="32"/>
          <w:u w:val="single"/>
          <w:rtl/>
        </w:rPr>
        <w:t>الوقائع</w:t>
      </w:r>
    </w:p>
    <w:p w:rsidR="003638B4" w:rsidRDefault="003638B4" w:rsidP="00B72A80">
      <w:pPr>
        <w:pStyle w:val="aa"/>
        <w:spacing w:line="216" w:lineRule="auto"/>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14/7/ 2021 يطلب في ختامها الحكم بقبول الطعن شكلا، وفي الموضوع بإلغاء قرار رئيس الجهاز المركزي للمحاسبات فيما تضمنه من مجازاته بعقوبة التنبيه بناء على التحقيق الإداري رقم (56) لسنة 2019، مع ما يترتب على ذلك من آثار.</w:t>
      </w:r>
    </w:p>
    <w:p w:rsidR="003638B4" w:rsidRDefault="003638B4" w:rsidP="00B72A80">
      <w:pPr>
        <w:pStyle w:val="aa"/>
        <w:spacing w:line="216" w:lineRule="auto"/>
        <w:jc w:val="both"/>
        <w:rPr>
          <w:rFonts w:asciiTheme="minorBidi" w:hAnsiTheme="minorBidi"/>
          <w:sz w:val="32"/>
          <w:szCs w:val="32"/>
          <w:rtl/>
        </w:rPr>
      </w:pPr>
    </w:p>
    <w:p w:rsidR="003638B4" w:rsidRDefault="003638B4" w:rsidP="00B72A80">
      <w:pPr>
        <w:pStyle w:val="aa"/>
        <w:spacing w:line="216" w:lineRule="auto"/>
        <w:ind w:firstLine="401"/>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أول مدير إدارة من فئة وكيل وزارة بمجموعة الوظائف الفنية الرقابية العليا بإدارة مراقبة حسابات المرافق بالجهاز المطعون ضده، وتم تكلفيه بإعداد مقترح برنامج المأموريات لشاغلي الوظائف العليا والأعضاء الفنيين عن شهر يوليو 2017، وتم اعتماد هذا البرنامج من مدير إدارة مراقبة الحسابات، وقد صدر الأمر الإداري رقم (1) لسنة 2017 بتحديد الاختصاصات وتوزيع العمل بالإدارة محل عمله، وأُسنِد إليه بموجبه الإشراف على مجموعة شركة مياه الشرب والصرف الصحي ببني سويف، وقد أعدت الإدارة المركزية للتفتيش الفني ومراقبة الجودة تقريرا بوجود تقصير في التخطيط والمتابعة والإشراف على تنفيذ برنامج الإشراف على أعمال الجرد السنوي في 30/6/2017 لشركة مياه الشرب والصرف الصحي بمدن القناة، ورغم عدم اختصاصه في هذا المقام فقد نُسب إليه الخروج على مقتضى الواجب الوظيفي ومجازاته بموجب القرار الطعين بعقوبة التنبيه، وإذ لم يرتض الطاعن به فقد تظلم منه إلى رئيس الجهاز، ثم لجأ إلى لجنة التوفيق في المنازعات، ثم أقام طعنه الماثل بطلباته سالفة البيان.</w:t>
      </w:r>
    </w:p>
    <w:p w:rsidR="003638B4" w:rsidRDefault="003638B4" w:rsidP="00B72A80">
      <w:pPr>
        <w:pStyle w:val="aa"/>
        <w:spacing w:line="216" w:lineRule="auto"/>
        <w:ind w:firstLine="401"/>
        <w:jc w:val="both"/>
        <w:rPr>
          <w:rFonts w:asciiTheme="minorBidi" w:hAnsiTheme="minorBidi"/>
          <w:sz w:val="32"/>
          <w:szCs w:val="32"/>
          <w:rtl/>
        </w:rPr>
      </w:pPr>
    </w:p>
    <w:p w:rsidR="003638B4" w:rsidRDefault="003638B4" w:rsidP="00B72A80">
      <w:pPr>
        <w:pStyle w:val="aa"/>
        <w:spacing w:line="216" w:lineRule="auto"/>
        <w:ind w:firstLine="401"/>
        <w:jc w:val="both"/>
        <w:rPr>
          <w:rFonts w:asciiTheme="minorBidi" w:hAnsiTheme="minorBidi"/>
          <w:sz w:val="32"/>
          <w:szCs w:val="32"/>
          <w:rtl/>
        </w:rPr>
      </w:pPr>
      <w:r>
        <w:rPr>
          <w:rFonts w:asciiTheme="minorBidi" w:hAnsiTheme="minorBidi"/>
          <w:sz w:val="32"/>
          <w:szCs w:val="32"/>
          <w:rtl/>
        </w:rPr>
        <w:t>وتحددت لنظر الطعن أمام المحكمة جلسة 25/8/2021، وبتلك الجلسة قدم الحاضر عن الجهاز المطعون ضده حافظة مستندات طويت على المدون بغلافها، ومذكرة دفاع انتهت إلى طلب الحكم برفض الطعن، كما قدم الحاضر عن الطاعن حافظة مستندات طويت على المدون بغلافها، وتدوول الطعن أمام المحكمة على النحو الثابت بمحاضر الجلسات، وبجلسة 6/10/2021 قدم الحاضر عن الطاعن مذكرة دفاع انتهت إلى الإصرار على طلباته آنفة البيان،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3638B4" w:rsidRPr="003638B4" w:rsidRDefault="003638B4" w:rsidP="00B72A80">
      <w:pPr>
        <w:bidi/>
        <w:spacing w:line="216" w:lineRule="auto"/>
        <w:ind w:firstLine="401"/>
        <w:jc w:val="center"/>
        <w:outlineLvl w:val="0"/>
        <w:rPr>
          <w:rFonts w:asciiTheme="minorBidi" w:hAnsiTheme="minorBidi"/>
          <w:b/>
          <w:bCs/>
          <w:sz w:val="32"/>
          <w:szCs w:val="32"/>
          <w:u w:val="single"/>
          <w:rtl/>
        </w:rPr>
      </w:pPr>
      <w:r w:rsidRPr="003638B4">
        <w:rPr>
          <w:rFonts w:asciiTheme="minorBidi" w:hAnsiTheme="minorBidi"/>
          <w:b/>
          <w:bCs/>
          <w:sz w:val="32"/>
          <w:szCs w:val="32"/>
          <w:u w:val="single"/>
          <w:rtl/>
        </w:rPr>
        <w:t>المحكمة</w:t>
      </w:r>
    </w:p>
    <w:p w:rsidR="003638B4" w:rsidRDefault="003638B4" w:rsidP="00B72A80">
      <w:pPr>
        <w:bidi/>
        <w:spacing w:line="216" w:lineRule="auto"/>
        <w:outlineLvl w:val="0"/>
        <w:rPr>
          <w:rFonts w:asciiTheme="minorBidi" w:hAnsiTheme="minorBidi"/>
          <w:sz w:val="32"/>
          <w:szCs w:val="32"/>
          <w:rtl/>
        </w:rPr>
      </w:pPr>
      <w:r>
        <w:rPr>
          <w:rFonts w:asciiTheme="minorBidi" w:hAnsiTheme="minorBidi" w:hint="cs"/>
          <w:sz w:val="32"/>
          <w:szCs w:val="32"/>
          <w:rtl/>
        </w:rPr>
        <w:t xml:space="preserve">     </w:t>
      </w:r>
      <w:r>
        <w:rPr>
          <w:rFonts w:asciiTheme="minorBidi" w:hAnsiTheme="minorBidi"/>
          <w:sz w:val="32"/>
          <w:szCs w:val="32"/>
          <w:rtl/>
        </w:rPr>
        <w:t>بعد الاطلاع على الأوراق، وسماع الإيضاحات والمداولة قانوناً.</w:t>
      </w:r>
    </w:p>
    <w:p w:rsidR="003638B4" w:rsidRDefault="003638B4" w:rsidP="00B72A80">
      <w:pPr>
        <w:pStyle w:val="aa"/>
        <w:spacing w:line="216" w:lineRule="auto"/>
        <w:jc w:val="both"/>
        <w:rPr>
          <w:rFonts w:asciiTheme="minorBidi" w:hAnsiTheme="minorBidi"/>
          <w:sz w:val="32"/>
          <w:szCs w:val="32"/>
          <w:u w:val="single"/>
          <w:rtl/>
        </w:rPr>
      </w:pPr>
      <w:bookmarkStart w:id="0" w:name="_Hlk81660099"/>
      <w:r>
        <w:rPr>
          <w:rFonts w:asciiTheme="minorBidi" w:hAnsiTheme="minorBidi"/>
          <w:sz w:val="32"/>
          <w:szCs w:val="32"/>
          <w:rtl/>
        </w:rPr>
        <w:lastRenderedPageBreak/>
        <w:t xml:space="preserve">     ومن حيث إن الطاعن يطلب الحكم بقبول الطعن شكلاً وفى الموضوع بإلغاء قرار رئيس الجهاز المركزي للمحاسبات رقم (870) لسنة 2021 الصادر بتاريخ 10/5/2021 فيما تضمنه من مجازاته بعقوبة التنبيه، مع ما يترتب على ذلك من آثار.</w:t>
      </w:r>
    </w:p>
    <w:bookmarkEnd w:id="0"/>
    <w:p w:rsidR="003638B4" w:rsidRDefault="003638B4" w:rsidP="00B72A80">
      <w:pPr>
        <w:bidi/>
        <w:spacing w:line="216" w:lineRule="auto"/>
        <w:jc w:val="both"/>
        <w:rPr>
          <w:rFonts w:asciiTheme="minorBidi" w:hAnsiTheme="minorBidi"/>
          <w:sz w:val="32"/>
          <w:szCs w:val="32"/>
          <w:rtl/>
          <w:lang w:bidi="ar-EG"/>
        </w:rPr>
      </w:pPr>
    </w:p>
    <w:p w:rsidR="003638B4" w:rsidRDefault="003638B4" w:rsidP="00B72A80">
      <w:pPr>
        <w:bidi/>
        <w:spacing w:line="216" w:lineRule="auto"/>
        <w:ind w:firstLine="401"/>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3638B4" w:rsidRDefault="003638B4" w:rsidP="00B72A80">
      <w:pPr>
        <w:bidi/>
        <w:spacing w:line="216" w:lineRule="auto"/>
        <w:ind w:firstLine="401"/>
        <w:jc w:val="both"/>
        <w:rPr>
          <w:rFonts w:asciiTheme="minorBidi" w:hAnsiTheme="minorBidi"/>
          <w:sz w:val="32"/>
          <w:szCs w:val="32"/>
          <w:rtl/>
          <w:lang w:bidi="ar-EG"/>
        </w:rPr>
      </w:pPr>
    </w:p>
    <w:p w:rsidR="003638B4" w:rsidRDefault="003638B4" w:rsidP="00B72A80">
      <w:pPr>
        <w:bidi/>
        <w:spacing w:line="216" w:lineRule="auto"/>
        <w:ind w:firstLine="401"/>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3638B4" w:rsidRDefault="003638B4" w:rsidP="00B72A80">
      <w:pPr>
        <w:bidi/>
        <w:spacing w:line="216" w:lineRule="auto"/>
        <w:ind w:firstLine="401"/>
        <w:jc w:val="both"/>
        <w:rPr>
          <w:rFonts w:asciiTheme="minorBidi" w:hAnsiTheme="minorBidi"/>
          <w:sz w:val="32"/>
          <w:szCs w:val="32"/>
          <w:rtl/>
        </w:rPr>
      </w:pPr>
    </w:p>
    <w:p w:rsidR="003638B4" w:rsidRDefault="003638B4" w:rsidP="00B72A80">
      <w:pPr>
        <w:bidi/>
        <w:spacing w:line="216" w:lineRule="auto"/>
        <w:ind w:firstLine="401"/>
        <w:jc w:val="both"/>
        <w:rPr>
          <w:rFonts w:asciiTheme="minorBidi" w:hAnsiTheme="minorBidi"/>
          <w:sz w:val="32"/>
          <w:szCs w:val="32"/>
          <w:rtl/>
        </w:rPr>
      </w:pPr>
      <w:r>
        <w:rPr>
          <w:rFonts w:asciiTheme="minorBidi" w:hAnsiTheme="minorBidi"/>
          <w:sz w:val="32"/>
          <w:szCs w:val="32"/>
          <w:rtl/>
        </w:rPr>
        <w:t>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3638B4" w:rsidRDefault="003638B4" w:rsidP="00B72A80">
      <w:pPr>
        <w:bidi/>
        <w:spacing w:line="216" w:lineRule="auto"/>
        <w:jc w:val="both"/>
        <w:rPr>
          <w:rFonts w:asciiTheme="minorBidi" w:hAnsiTheme="minorBidi"/>
          <w:sz w:val="32"/>
          <w:szCs w:val="32"/>
          <w:rtl/>
        </w:rPr>
      </w:pPr>
    </w:p>
    <w:p w:rsidR="003638B4" w:rsidRDefault="003638B4" w:rsidP="00B72A80">
      <w:pPr>
        <w:bidi/>
        <w:spacing w:line="216" w:lineRule="auto"/>
        <w:ind w:firstLine="401"/>
        <w:jc w:val="both"/>
        <w:rPr>
          <w:rFonts w:asciiTheme="minorBidi" w:hAnsiTheme="minorBidi"/>
          <w:sz w:val="32"/>
          <w:szCs w:val="32"/>
          <w:rtl/>
        </w:rPr>
      </w:pPr>
      <w:r>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3638B4" w:rsidRDefault="003638B4" w:rsidP="00B72A80">
      <w:pPr>
        <w:bidi/>
        <w:spacing w:line="216" w:lineRule="auto"/>
        <w:jc w:val="both"/>
        <w:rPr>
          <w:rFonts w:asciiTheme="minorBidi" w:hAnsiTheme="minorBidi"/>
          <w:sz w:val="32"/>
          <w:szCs w:val="32"/>
          <w:rtl/>
        </w:rPr>
      </w:pPr>
    </w:p>
    <w:p w:rsidR="003638B4" w:rsidRDefault="003638B4" w:rsidP="00B72A80">
      <w:pPr>
        <w:bidi/>
        <w:spacing w:line="216" w:lineRule="auto"/>
        <w:ind w:firstLine="401"/>
        <w:jc w:val="both"/>
        <w:rPr>
          <w:rFonts w:asciiTheme="minorBidi" w:hAnsiTheme="minorBidi"/>
          <w:sz w:val="32"/>
          <w:szCs w:val="32"/>
          <w:rtl/>
        </w:rPr>
      </w:pPr>
      <w:r>
        <w:rPr>
          <w:rFonts w:asciiTheme="minorBidi" w:hAnsiTheme="minorBidi"/>
          <w:sz w:val="32"/>
          <w:szCs w:val="32"/>
          <w:rtl/>
        </w:rPr>
        <w:t>ومن حيث إن الثابت بالأوراق أن الطاعن يشغل وظيفة نائب أول مدير إدارة من فئة وكيل وزارة بمجموعة الوظائف الفنية الرقابية العليا بإدارة مراقبة حسابات المرافق بالجهاز المركزي للمحاسبات، وقد صدر القرار المطعون فيه بمجازاته بعقوبة التنبيه ل</w:t>
      </w:r>
      <w:r>
        <w:rPr>
          <w:rFonts w:asciiTheme="minorBidi" w:hAnsiTheme="minorBidi"/>
          <w:sz w:val="32"/>
          <w:szCs w:val="32"/>
          <w:rtl/>
          <w:lang w:bidi="ar-EG"/>
        </w:rPr>
        <w:t>م</w:t>
      </w:r>
      <w:r>
        <w:rPr>
          <w:rFonts w:asciiTheme="minorBidi" w:hAnsiTheme="minorBidi"/>
          <w:sz w:val="32"/>
          <w:szCs w:val="32"/>
          <w:rtl/>
        </w:rPr>
        <w:t>ا نسب إليه من خروج على مقتضى الواجب الوظيفي ومخالفة اللوائح والتعليمات لاعتماده برنامج مأموريات شهر يوليو 2017 لإدارة مراقبة حسابات المرافق، وعدم متابعته وإشرافه على تنفيذ برنامج الإشراف على أعمال لجنة الجرد السنوي في 30/6/2017.</w:t>
      </w:r>
    </w:p>
    <w:p w:rsidR="003638B4" w:rsidRDefault="003638B4" w:rsidP="00B72A80">
      <w:pPr>
        <w:bidi/>
        <w:spacing w:line="216" w:lineRule="auto"/>
        <w:ind w:firstLine="401"/>
        <w:jc w:val="both"/>
        <w:rPr>
          <w:rFonts w:asciiTheme="minorBidi" w:hAnsiTheme="minorBidi"/>
          <w:sz w:val="32"/>
          <w:szCs w:val="32"/>
          <w:rtl/>
        </w:rPr>
      </w:pPr>
    </w:p>
    <w:p w:rsidR="003638B4" w:rsidRDefault="003638B4" w:rsidP="00B72A80">
      <w:pPr>
        <w:bidi/>
        <w:spacing w:line="216" w:lineRule="auto"/>
        <w:ind w:firstLine="401"/>
        <w:jc w:val="both"/>
        <w:rPr>
          <w:rFonts w:asciiTheme="minorBidi" w:hAnsiTheme="minorBidi"/>
          <w:sz w:val="32"/>
          <w:szCs w:val="32"/>
          <w:rtl/>
        </w:rPr>
      </w:pPr>
      <w:r>
        <w:rPr>
          <w:rFonts w:asciiTheme="minorBidi" w:hAnsiTheme="minorBidi"/>
          <w:sz w:val="32"/>
          <w:szCs w:val="32"/>
          <w:rtl/>
        </w:rPr>
        <w:lastRenderedPageBreak/>
        <w:t>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شكوى مقدمة من المستشار القانوني لشركة مياه الشرب والصرف الصحي بمحافظات القناة، يتضرر فيها مما ورد ببعض ملاحظات إدارة مراقبة حسابات المرافق بالجهاز المركزي للمحاسبات، وبفتح التحقيقات في تلك الشكوى بشأن فحص شركة مياه الشرب والصرف الصحي بمحافظات القناة ــــ والمقيدة برقم (56) لسنة 2019 ــــــ تبينت مخالفات تعلقت بالقصور في العمل والجرد السنوي نُسِبت لثلاثة من زملاء الطاعن بمواضع عدة بمذكرة عرض نتيجة تلك التحقيقات على رئيس الجهاز</w:t>
      </w:r>
      <w:r>
        <w:rPr>
          <w:rFonts w:asciiTheme="minorBidi" w:hAnsiTheme="minorBidi"/>
          <w:sz w:val="32"/>
          <w:szCs w:val="32"/>
        </w:rPr>
        <w:t xml:space="preserve">  </w:t>
      </w:r>
      <w:r>
        <w:rPr>
          <w:rFonts w:asciiTheme="minorBidi" w:hAnsiTheme="minorBidi"/>
          <w:sz w:val="32"/>
          <w:szCs w:val="32"/>
          <w:rtl/>
          <w:lang w:bidi="ar-EG"/>
        </w:rPr>
        <w:t>بحسبانهم منوطة بهم أعمال مراقبة حسابات تلك الشركة</w:t>
      </w:r>
      <w:r>
        <w:rPr>
          <w:rFonts w:asciiTheme="minorBidi" w:hAnsiTheme="minorBidi"/>
          <w:sz w:val="32"/>
          <w:szCs w:val="32"/>
          <w:lang w:bidi="ar-EG"/>
        </w:rPr>
        <w:t xml:space="preserve"> </w:t>
      </w:r>
      <w:r>
        <w:rPr>
          <w:rFonts w:asciiTheme="minorBidi" w:hAnsiTheme="minorBidi"/>
          <w:sz w:val="32"/>
          <w:szCs w:val="32"/>
          <w:rtl/>
          <w:lang w:bidi="ar-EG"/>
        </w:rPr>
        <w:t xml:space="preserve"> ـــــ </w:t>
      </w:r>
      <w:r>
        <w:rPr>
          <w:rFonts w:asciiTheme="minorBidi" w:hAnsiTheme="minorBidi"/>
          <w:sz w:val="32"/>
          <w:szCs w:val="32"/>
          <w:rtl/>
        </w:rPr>
        <w:t>شركة مياه الشرب والصرف الصحي بمحافظات القناة ــــ</w:t>
      </w:r>
      <w:r>
        <w:rPr>
          <w:rFonts w:asciiTheme="minorBidi" w:hAnsiTheme="minorBidi"/>
          <w:sz w:val="32"/>
          <w:szCs w:val="32"/>
          <w:rtl/>
          <w:lang w:bidi="ar-EG"/>
        </w:rPr>
        <w:t xml:space="preserve">  في حين كان الـمُسند للطاعن الإشراف على أعمال مراقبة حسابات شركة مياه الشرب والصرف الصحي ببني سويف، وذلك حسب الأمر الإداري رقم (1) لسنة 2017 بتوزيع العمل على الأعضاء الفنيين بإدارة مراقبة الحسابات بالجهاز للعام المالي 2016/2017 والصادر عن مدير الإدارة بتاريخ 15/3/2017، وهو ما ينضح بأن الطاعن غير مختص بأعمال الرقابة على حسابات شركة مياه الشرب والصرف الصحي لمحافظات القناة. كما أن ما ورد بالتحقيقات ومذكرة عرض نتائجها ومذكرة دفاع الجهاز المطعون ضده من أن الطاعن اعتمد برنامج مأموريات شهر يوليو 2017 </w:t>
      </w:r>
      <w:r>
        <w:rPr>
          <w:rFonts w:asciiTheme="minorBidi" w:hAnsiTheme="minorBidi"/>
          <w:sz w:val="32"/>
          <w:szCs w:val="32"/>
          <w:rtl/>
        </w:rPr>
        <w:t>لإدارة مراقبة حسابات المرافق، وعدم متابعته وإشرافه على تنفيذ برنامج الإشراف على أعمال لجنة الجرد السنوي في 30/6/2017 قد جاء على غير سند من الأوراق، ذلك أنه بالاطلاع عليها تبين أن اعتماد ذلك البرنامج كان من خلال مدير إدارة مراقبة الحسابات، وما كان للطاعن من سلطة لاعتماده، فضلا عن الأوراق قد أجدبت من أي دليل على ضلوع الطاعن بفعل إيجابي أو سلبي في وجود قصور في أعمال مراقبة حسابات الشركة المنوه عنها، فلم تنطق الأوراق بما يصح نسبته إليه من تقصير أو مساهمة فيه، ومن ثم فإن ما نُسب للطاعن يكون قد قام على غير أساس صحيح من الواقع، مما يضحى معه القرار المطعون فيه والحال كذلك ـــــ إذ أخذ الطاعن بجزاء التنبيه ـــــ قائما على غير أساس أو سبب سليم من القانون، خليق بالإلغاء، وهو ما تقضي به المحكمة.</w:t>
      </w:r>
    </w:p>
    <w:p w:rsidR="003638B4" w:rsidRDefault="003638B4" w:rsidP="00B72A80">
      <w:pPr>
        <w:bidi/>
        <w:spacing w:line="216" w:lineRule="auto"/>
        <w:ind w:firstLine="401"/>
        <w:jc w:val="both"/>
        <w:rPr>
          <w:rFonts w:asciiTheme="minorBidi" w:hAnsiTheme="minorBidi"/>
          <w:sz w:val="32"/>
          <w:szCs w:val="32"/>
          <w:rtl/>
        </w:rPr>
      </w:pPr>
      <w:r>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3638B4" w:rsidRPr="00B72A80" w:rsidRDefault="003638B4" w:rsidP="00B72A80">
      <w:pPr>
        <w:bidi/>
        <w:spacing w:line="216" w:lineRule="auto"/>
        <w:jc w:val="center"/>
        <w:rPr>
          <w:rFonts w:asciiTheme="minorBidi" w:hAnsiTheme="minorBidi"/>
          <w:b/>
          <w:bCs/>
          <w:sz w:val="32"/>
          <w:szCs w:val="32"/>
          <w:u w:val="single"/>
          <w:rtl/>
        </w:rPr>
      </w:pPr>
      <w:r w:rsidRPr="00B72A80">
        <w:rPr>
          <w:rFonts w:asciiTheme="minorBidi" w:hAnsiTheme="minorBidi"/>
          <w:b/>
          <w:bCs/>
          <w:sz w:val="32"/>
          <w:szCs w:val="32"/>
          <w:u w:val="single"/>
          <w:rtl/>
        </w:rPr>
        <w:t>فلهذه الأسباب</w:t>
      </w:r>
    </w:p>
    <w:p w:rsidR="00BA75A5" w:rsidRDefault="003638B4" w:rsidP="00B72A80">
      <w:pPr>
        <w:bidi/>
        <w:spacing w:line="216" w:lineRule="auto"/>
        <w:ind w:firstLine="401"/>
        <w:jc w:val="both"/>
        <w:rPr>
          <w:rFonts w:ascii="Arial" w:hAnsi="Arial" w:cs="Arial"/>
          <w:b/>
          <w:bCs/>
          <w:sz w:val="32"/>
          <w:szCs w:val="32"/>
          <w:rtl/>
        </w:rPr>
      </w:pPr>
      <w:r>
        <w:rPr>
          <w:rFonts w:asciiTheme="minorBidi" w:hAnsiTheme="minorBidi"/>
          <w:sz w:val="32"/>
          <w:szCs w:val="32"/>
          <w:rtl/>
        </w:rPr>
        <w:t>حكمت المحكمة بقبول الطعن شكلاً وفي الموضوع بإلغاء القرار المطعون فيه رقم (870) لسنة 2021 فيما تضمنه من مجازاة الطاعن بعقوبة التنبيه، مع ما يترتب على ذلك من آثار، وألزمت الجهاز المطعون ضده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87D" w:rsidRDefault="009C787D">
      <w:r>
        <w:separator/>
      </w:r>
    </w:p>
  </w:endnote>
  <w:endnote w:type="continuationSeparator" w:id="1">
    <w:p w:rsidR="009C787D" w:rsidRDefault="009C7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2475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2475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72A80">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87D" w:rsidRDefault="009C787D">
      <w:r>
        <w:separator/>
      </w:r>
    </w:p>
  </w:footnote>
  <w:footnote w:type="continuationSeparator" w:id="1">
    <w:p w:rsidR="009C787D" w:rsidRDefault="009C7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638B4">
          <w:rPr>
            <w:rFonts w:hint="cs"/>
            <w:sz w:val="28"/>
            <w:szCs w:val="28"/>
            <w:u w:val="single"/>
            <w:rtl/>
            <w:lang w:bidi="ar-EG"/>
          </w:rPr>
          <w:t>في الطعن رقم 136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7010"/>
    <w:multiLevelType w:val="hybridMultilevel"/>
    <w:tmpl w:val="CD90A8EE"/>
    <w:lvl w:ilvl="0" w:tplc="A5A09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2">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3">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14"/>
  </w:num>
  <w:num w:numId="4">
    <w:abstractNumId w:val="3"/>
  </w:num>
  <w:num w:numId="5">
    <w:abstractNumId w:val="16"/>
  </w:num>
  <w:num w:numId="6">
    <w:abstractNumId w:val="28"/>
  </w:num>
  <w:num w:numId="7">
    <w:abstractNumId w:val="22"/>
  </w:num>
  <w:num w:numId="8">
    <w:abstractNumId w:val="17"/>
  </w:num>
  <w:num w:numId="9">
    <w:abstractNumId w:val="8"/>
  </w:num>
  <w:num w:numId="10">
    <w:abstractNumId w:val="12"/>
  </w:num>
  <w:num w:numId="11">
    <w:abstractNumId w:val="6"/>
  </w:num>
  <w:num w:numId="12">
    <w:abstractNumId w:val="25"/>
  </w:num>
  <w:num w:numId="13">
    <w:abstractNumId w:val="26"/>
  </w:num>
  <w:num w:numId="14">
    <w:abstractNumId w:val="1"/>
  </w:num>
  <w:num w:numId="15">
    <w:abstractNumId w:val="19"/>
  </w:num>
  <w:num w:numId="16">
    <w:abstractNumId w:val="13"/>
  </w:num>
  <w:num w:numId="17">
    <w:abstractNumId w:val="34"/>
  </w:num>
  <w:num w:numId="18">
    <w:abstractNumId w:val="2"/>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9"/>
  </w:num>
  <w:num w:numId="26">
    <w:abstractNumId w:val="27"/>
  </w:num>
  <w:num w:numId="27">
    <w:abstractNumId w:val="24"/>
  </w:num>
  <w:num w:numId="28">
    <w:abstractNumId w:val="4"/>
  </w:num>
  <w:num w:numId="29">
    <w:abstractNumId w:val="23"/>
  </w:num>
  <w:num w:numId="30">
    <w:abstractNumId w:val="7"/>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8B4"/>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87D"/>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751"/>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2A80"/>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3638B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19708349">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7B7"/>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1227</Words>
  <Characters>7000</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2020-03-31T00:02:00Z</dcterms:modified>
  <cp:contentStatus>في الطعن رقم 136 لسنة 55 ق.</cp:contentStatus>
</cp:coreProperties>
</file>