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E4E0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E4E0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E4E03">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C4077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C4077C">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4077C">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4077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C4077C">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C4077C">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8E4E0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8E4E03">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6148E5">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6148E5">
            <w:rPr>
              <w:rFonts w:ascii="Arial" w:hAnsi="Arial" w:cs="Arial" w:hint="cs"/>
              <w:sz w:val="32"/>
              <w:szCs w:val="32"/>
              <w:rtl/>
              <w:lang w:bidi="ar-EG"/>
            </w:rPr>
            <w:t>14</w:t>
          </w:r>
          <w:r>
            <w:rPr>
              <w:rFonts w:ascii="Arial" w:hAnsi="Arial" w:cs="Arial" w:hint="cs"/>
              <w:sz w:val="32"/>
              <w:szCs w:val="32"/>
              <w:rtl/>
              <w:lang w:bidi="ar-EG"/>
            </w:rPr>
            <w:t xml:space="preserve"> لسنة </w:t>
          </w:r>
          <w:r w:rsidR="006148E5">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FA5218" w:rsidRPr="00FA5218" w:rsidRDefault="006148E5" w:rsidP="00FA5218">
      <w:pPr>
        <w:bidi/>
        <w:ind w:left="-24"/>
        <w:jc w:val="center"/>
        <w:outlineLvl w:val="0"/>
        <w:rPr>
          <w:rFonts w:asciiTheme="minorBidi" w:hAnsiTheme="minorBidi" w:hint="cs"/>
          <w:b/>
          <w:bCs/>
          <w:sz w:val="32"/>
          <w:szCs w:val="32"/>
          <w:rtl/>
          <w:lang w:bidi="ar-EG"/>
        </w:rPr>
      </w:pPr>
      <w:r w:rsidRPr="00FA5218">
        <w:rPr>
          <w:rFonts w:asciiTheme="minorBidi" w:hAnsiTheme="minorBidi"/>
          <w:b/>
          <w:bCs/>
          <w:sz w:val="32"/>
          <w:szCs w:val="32"/>
          <w:rtl/>
          <w:lang w:bidi="ar-EG"/>
        </w:rPr>
        <w:t>المقام من:</w:t>
      </w:r>
    </w:p>
    <w:p w:rsidR="006148E5" w:rsidRDefault="006148E5" w:rsidP="00FA5218">
      <w:pPr>
        <w:bidi/>
        <w:ind w:left="-24"/>
        <w:jc w:val="center"/>
        <w:outlineLvl w:val="0"/>
        <w:rPr>
          <w:rFonts w:asciiTheme="minorBidi" w:hAnsiTheme="minorBidi"/>
          <w:sz w:val="32"/>
          <w:szCs w:val="32"/>
          <w:lang w:bidi="ar-EG"/>
        </w:rPr>
      </w:pPr>
      <w:r>
        <w:rPr>
          <w:rFonts w:asciiTheme="minorBidi" w:hAnsiTheme="minorBidi"/>
          <w:sz w:val="32"/>
          <w:szCs w:val="32"/>
          <w:rtl/>
          <w:lang w:bidi="ar-EG"/>
        </w:rPr>
        <w:t>إيهاب أحمد محمود عبد الرحمن.</w:t>
      </w:r>
    </w:p>
    <w:p w:rsidR="00FA5218" w:rsidRPr="00FA5218" w:rsidRDefault="006148E5" w:rsidP="00FA5218">
      <w:pPr>
        <w:bidi/>
        <w:ind w:left="-24"/>
        <w:jc w:val="center"/>
        <w:outlineLvl w:val="0"/>
        <w:rPr>
          <w:rFonts w:asciiTheme="minorBidi" w:hAnsiTheme="minorBidi" w:hint="cs"/>
          <w:b/>
          <w:bCs/>
          <w:sz w:val="32"/>
          <w:szCs w:val="32"/>
          <w:rtl/>
        </w:rPr>
      </w:pPr>
      <w:r w:rsidRPr="00FA5218">
        <w:rPr>
          <w:rFonts w:asciiTheme="minorBidi" w:hAnsiTheme="minorBidi"/>
          <w:b/>
          <w:bCs/>
          <w:sz w:val="32"/>
          <w:szCs w:val="32"/>
          <w:rtl/>
          <w:lang w:bidi="ar-EG"/>
        </w:rPr>
        <w:t>ضــــــــــــــد</w:t>
      </w:r>
      <w:r w:rsidRPr="00FA5218">
        <w:rPr>
          <w:rFonts w:asciiTheme="minorBidi" w:hAnsiTheme="minorBidi"/>
          <w:b/>
          <w:bCs/>
          <w:sz w:val="32"/>
          <w:szCs w:val="32"/>
          <w:rtl/>
        </w:rPr>
        <w:t>:</w:t>
      </w:r>
    </w:p>
    <w:p w:rsidR="006148E5" w:rsidRDefault="006148E5" w:rsidP="00FA5218">
      <w:pPr>
        <w:bidi/>
        <w:ind w:left="-24"/>
        <w:jc w:val="center"/>
        <w:outlineLvl w:val="0"/>
        <w:rPr>
          <w:rFonts w:asciiTheme="minorBidi" w:hAnsiTheme="minorBidi" w:hint="cs"/>
          <w:sz w:val="32"/>
          <w:szCs w:val="32"/>
          <w:rtl/>
        </w:rPr>
      </w:pPr>
      <w:r>
        <w:rPr>
          <w:rFonts w:asciiTheme="minorBidi" w:hAnsiTheme="minorBidi"/>
          <w:sz w:val="32"/>
          <w:szCs w:val="32"/>
          <w:rtl/>
        </w:rPr>
        <w:t>وزير الداخلية</w:t>
      </w:r>
      <w:r w:rsidR="00FA5218">
        <w:rPr>
          <w:rFonts w:asciiTheme="minorBidi" w:hAnsiTheme="minorBidi" w:hint="cs"/>
          <w:sz w:val="32"/>
          <w:szCs w:val="32"/>
          <w:rtl/>
        </w:rPr>
        <w:t xml:space="preserve">            </w:t>
      </w:r>
      <w:r>
        <w:rPr>
          <w:rFonts w:asciiTheme="minorBidi" w:hAnsiTheme="minorBidi"/>
          <w:sz w:val="32"/>
          <w:szCs w:val="32"/>
          <w:rtl/>
        </w:rPr>
        <w:t xml:space="preserve"> (بصفته)</w:t>
      </w:r>
    </w:p>
    <w:p w:rsidR="00FA5218" w:rsidRDefault="00FA5218" w:rsidP="00FA5218">
      <w:pPr>
        <w:bidi/>
        <w:ind w:left="-24"/>
        <w:jc w:val="center"/>
        <w:outlineLvl w:val="0"/>
        <w:rPr>
          <w:rFonts w:asciiTheme="minorBidi" w:hAnsiTheme="minorBidi"/>
          <w:sz w:val="32"/>
          <w:szCs w:val="32"/>
          <w:rtl/>
        </w:rPr>
      </w:pPr>
    </w:p>
    <w:p w:rsidR="006148E5" w:rsidRPr="006148E5" w:rsidRDefault="006148E5" w:rsidP="00FA5218">
      <w:pPr>
        <w:overflowPunct w:val="0"/>
        <w:autoSpaceDE w:val="0"/>
        <w:autoSpaceDN w:val="0"/>
        <w:bidi/>
        <w:adjustRightInd w:val="0"/>
        <w:spacing w:line="276" w:lineRule="auto"/>
        <w:ind w:left="-24"/>
        <w:textAlignment w:val="baseline"/>
        <w:rPr>
          <w:rFonts w:asciiTheme="minorBidi" w:hAnsiTheme="minorBidi"/>
          <w:b/>
          <w:bCs/>
          <w:sz w:val="32"/>
          <w:szCs w:val="32"/>
          <w:rtl/>
        </w:rPr>
      </w:pPr>
      <w:r w:rsidRPr="006148E5">
        <w:rPr>
          <w:rFonts w:asciiTheme="minorBidi" w:hAnsiTheme="minorBidi"/>
          <w:b/>
          <w:bCs/>
          <w:sz w:val="32"/>
          <w:szCs w:val="32"/>
          <w:u w:val="single"/>
          <w:rtl/>
        </w:rPr>
        <w:t xml:space="preserve">الوقائع </w:t>
      </w:r>
    </w:p>
    <w:p w:rsidR="006148E5" w:rsidRDefault="006148E5" w:rsidP="00FA5218">
      <w:pPr>
        <w:pStyle w:val="aa"/>
        <w:spacing w:line="276" w:lineRule="auto"/>
        <w:ind w:left="-24" w:firstLine="567"/>
        <w:jc w:val="both"/>
        <w:rPr>
          <w:rFonts w:asciiTheme="minorBidi" w:hAnsiTheme="minorBidi"/>
          <w:sz w:val="32"/>
          <w:szCs w:val="32"/>
          <w:rtl/>
        </w:rPr>
      </w:pPr>
      <w:r>
        <w:rPr>
          <w:rFonts w:asciiTheme="minorBidi" w:hAnsiTheme="minorBidi"/>
          <w:sz w:val="32"/>
          <w:szCs w:val="32"/>
          <w:rtl/>
        </w:rPr>
        <w:t>أقام الطاعن طعنه الماثل بإيداع صحيفته المعلنة قانونا قلم كتاب محكمة القضاء الإداري الدائرة الرابعة عشر (تعيينات كادرات خاصة "1") بتاريخ 16/11/2020، حيث قيد بجدولها العام تحت رقم 10279 لسنة 75 ق، وطلب في ختامها الحكم أولا في الشق المستعجل بوقف تنفيذ القرار لحين الفصل في الموضوع بإلغاء القرار وما ترتب عليه من أثار. ثانيا : في الموضوع : بإلغاء القرار وما ترتب عليه من أثار قانونية.</w:t>
      </w:r>
    </w:p>
    <w:p w:rsidR="006148E5" w:rsidRDefault="006148E5" w:rsidP="00FA5218">
      <w:pPr>
        <w:pStyle w:val="aa"/>
        <w:spacing w:line="276" w:lineRule="auto"/>
        <w:ind w:left="-24" w:firstLine="567"/>
        <w:jc w:val="both"/>
        <w:rPr>
          <w:rFonts w:asciiTheme="minorBidi" w:hAnsiTheme="minorBidi"/>
          <w:sz w:val="32"/>
          <w:szCs w:val="32"/>
          <w:rtl/>
        </w:rPr>
      </w:pPr>
    </w:p>
    <w:p w:rsidR="006148E5" w:rsidRDefault="006148E5" w:rsidP="00FA5218">
      <w:pPr>
        <w:bidi/>
        <w:spacing w:line="276" w:lineRule="auto"/>
        <w:ind w:left="-24" w:firstLine="567"/>
        <w:jc w:val="both"/>
        <w:rPr>
          <w:rFonts w:asciiTheme="minorBidi" w:hAnsiTheme="minorBidi" w:hint="cs"/>
          <w:sz w:val="32"/>
          <w:szCs w:val="32"/>
          <w:rtl/>
          <w:lang w:bidi="ar-EG"/>
        </w:rPr>
      </w:pPr>
      <w:r>
        <w:rPr>
          <w:rFonts w:asciiTheme="minorBidi" w:hAnsiTheme="minorBidi"/>
          <w:sz w:val="32"/>
          <w:szCs w:val="32"/>
          <w:rtl/>
          <w:lang w:bidi="ar-EG"/>
        </w:rPr>
        <w:t>وذكر الطاعن شرحا لطعنه، أنه بتاريخ 16/9/2020 أعلن بمجازاته بعقوبة الإنذار لخروجه على مقتضى الواجب الوظيفي والإخلال به، وذلك لما ثبت في حقه بعد التحقيق الذي أجري معه، من أنه بتاريخ 30/5/2020 في الساعة 6:15 مساءً أثناء مرور مفتش الداخلية على خدمة مطبعة الشرطة بالدراسة تلاحظ له ضعف إشراف المدعي على الخدمات، الأمر الذي ترتب عليه نوم أمين شرطة داخل سيارة النجدة خالعًا حذاءه، وكذا ارتداء مجند الملابس المدنية، وقد نعى الطاعن على القرار المطعون فيه مخالفته للواقع والقانون، وأضاف أنه قد تظلم من القرار المطعون فيه دون جدوى، الأمر الذي حدا به إلى إقامة الطعن الماثل مختتما صحيفته بالطلبات آنفة البيان.</w:t>
      </w:r>
    </w:p>
    <w:p w:rsidR="00FA5218" w:rsidRDefault="00FA5218" w:rsidP="00FA5218">
      <w:pPr>
        <w:bidi/>
        <w:spacing w:line="276" w:lineRule="auto"/>
        <w:ind w:left="-24" w:firstLine="567"/>
        <w:jc w:val="both"/>
        <w:rPr>
          <w:rFonts w:asciiTheme="minorBidi" w:hAnsiTheme="minorBidi"/>
          <w:sz w:val="32"/>
          <w:szCs w:val="32"/>
          <w:rtl/>
          <w:lang w:bidi="ar-EG"/>
        </w:rPr>
      </w:pPr>
    </w:p>
    <w:p w:rsidR="006148E5" w:rsidRDefault="006148E5" w:rsidP="00FA5218">
      <w:pPr>
        <w:bidi/>
        <w:spacing w:line="276" w:lineRule="auto"/>
        <w:ind w:left="-24" w:firstLine="567"/>
        <w:jc w:val="both"/>
        <w:rPr>
          <w:rFonts w:asciiTheme="minorBidi" w:hAnsiTheme="minorBidi"/>
          <w:sz w:val="32"/>
          <w:szCs w:val="32"/>
          <w:rtl/>
          <w:lang w:bidi="ar-EG"/>
        </w:rPr>
      </w:pPr>
      <w:r>
        <w:rPr>
          <w:rFonts w:asciiTheme="minorBidi" w:hAnsiTheme="minorBidi"/>
          <w:sz w:val="32"/>
          <w:szCs w:val="32"/>
          <w:rtl/>
          <w:lang w:bidi="ar-EG"/>
        </w:rPr>
        <w:t xml:space="preserve"> وقد تدوول نظر الدعوى بجلسات المحكمة على النحو المبين بمحاضرها، وبجلسة 8/8/2021 قضت المحكمة بعدم اختصاصها نوعيا بنظر الطعن، وأمرت بإحالته بحالته إلى المحكمة التأديبية لمستوى الإدارة العليا للاختصاص. وأبقت الفصل في المصروفات.</w:t>
      </w:r>
    </w:p>
    <w:p w:rsidR="006148E5" w:rsidRDefault="006148E5" w:rsidP="00FA5218">
      <w:pPr>
        <w:bidi/>
        <w:spacing w:line="276" w:lineRule="auto"/>
        <w:ind w:left="-24" w:firstLine="567"/>
        <w:jc w:val="both"/>
        <w:rPr>
          <w:rFonts w:asciiTheme="minorBidi" w:hAnsiTheme="minorBidi"/>
          <w:sz w:val="32"/>
          <w:szCs w:val="32"/>
          <w:rtl/>
          <w:lang w:bidi="ar-EG"/>
        </w:rPr>
      </w:pPr>
    </w:p>
    <w:p w:rsidR="006148E5" w:rsidRDefault="006148E5" w:rsidP="00FA5218">
      <w:pPr>
        <w:bidi/>
        <w:spacing w:before="120" w:after="120" w:line="276" w:lineRule="auto"/>
        <w:ind w:left="-24" w:firstLine="567"/>
        <w:jc w:val="both"/>
        <w:rPr>
          <w:rFonts w:asciiTheme="minorBidi" w:hAnsiTheme="minorBidi"/>
          <w:sz w:val="32"/>
          <w:szCs w:val="32"/>
          <w:rtl/>
          <w:lang w:bidi="ar-EG"/>
        </w:rPr>
      </w:pPr>
      <w:r>
        <w:rPr>
          <w:rFonts w:asciiTheme="minorBidi" w:hAnsiTheme="minorBidi"/>
          <w:sz w:val="32"/>
          <w:szCs w:val="32"/>
          <w:rtl/>
          <w:lang w:bidi="ar-EG"/>
        </w:rPr>
        <w:lastRenderedPageBreak/>
        <w:t xml:space="preserve">ونفاذا لذلك فقد ورد الطعن الماثل إلى هذه المحكمة وقيد بجدولها بتاريخ 7/11/2021 بالرقم المبين بصدر هذا الحكم، وتحددت لنظر الطعن أمام المحكمة جلسة 22/12/2021، وتدوول نظر الطعن أمام المحكمة على النحو الثابت بمحاضر الجلسات، وقررت المحكمة تأجيل نظر الدعوى لجلسة 26/1/2022 لإعلان الطاعن بالجلسة وليقدم المستندات المؤيدة لطلباته، وبالجلسة الأخيرة قررت المحكمة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6148E5" w:rsidRPr="006148E5" w:rsidRDefault="006148E5" w:rsidP="00FA5218">
      <w:pPr>
        <w:bidi/>
        <w:spacing w:line="276" w:lineRule="auto"/>
        <w:ind w:left="-24" w:firstLine="567"/>
        <w:jc w:val="center"/>
        <w:outlineLvl w:val="0"/>
        <w:rPr>
          <w:rFonts w:asciiTheme="minorBidi" w:hAnsiTheme="minorBidi"/>
          <w:b/>
          <w:bCs/>
          <w:sz w:val="32"/>
          <w:szCs w:val="32"/>
          <w:u w:val="single"/>
          <w:rtl/>
        </w:rPr>
      </w:pPr>
      <w:r w:rsidRPr="006148E5">
        <w:rPr>
          <w:rFonts w:asciiTheme="minorBidi" w:hAnsiTheme="minorBidi"/>
          <w:b/>
          <w:bCs/>
          <w:sz w:val="32"/>
          <w:szCs w:val="32"/>
          <w:u w:val="single"/>
          <w:rtl/>
        </w:rPr>
        <w:t>المحكمة</w:t>
      </w:r>
    </w:p>
    <w:p w:rsidR="006148E5" w:rsidRDefault="006148E5" w:rsidP="00FA5218">
      <w:pPr>
        <w:bidi/>
        <w:spacing w:line="276" w:lineRule="auto"/>
        <w:ind w:left="-24" w:firstLine="567"/>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6148E5" w:rsidRDefault="006148E5" w:rsidP="00FA5218">
      <w:pPr>
        <w:bidi/>
        <w:spacing w:line="276" w:lineRule="auto"/>
        <w:ind w:left="-24" w:firstLine="567"/>
        <w:jc w:val="both"/>
        <w:rPr>
          <w:rFonts w:asciiTheme="minorBidi" w:hAnsiTheme="minorBidi" w:hint="cs"/>
          <w:sz w:val="32"/>
          <w:szCs w:val="32"/>
          <w:rtl/>
          <w:lang w:bidi="ar-EG"/>
        </w:rPr>
      </w:pPr>
      <w:r>
        <w:rPr>
          <w:rFonts w:asciiTheme="minorBidi" w:hAnsiTheme="minorBidi"/>
          <w:sz w:val="32"/>
          <w:szCs w:val="32"/>
          <w:rtl/>
          <w:lang w:bidi="ar-EG"/>
        </w:rPr>
        <w:t xml:space="preserve"> </w:t>
      </w:r>
      <w:r w:rsidR="00FA5218">
        <w:rPr>
          <w:rFonts w:asciiTheme="minorBidi" w:hAnsiTheme="minorBidi" w:hint="cs"/>
          <w:sz w:val="32"/>
          <w:szCs w:val="32"/>
          <w:rtl/>
          <w:lang w:bidi="ar-EG"/>
        </w:rPr>
        <w:t xml:space="preserve">      </w:t>
      </w:r>
      <w:r>
        <w:rPr>
          <w:rFonts w:asciiTheme="minorBidi" w:hAnsiTheme="minorBidi"/>
          <w:sz w:val="32"/>
          <w:szCs w:val="32"/>
          <w:rtl/>
          <w:lang w:bidi="ar-EG"/>
        </w:rPr>
        <w:tab/>
      </w:r>
    </w:p>
    <w:p w:rsidR="006148E5" w:rsidRDefault="006148E5" w:rsidP="00FA5218">
      <w:pPr>
        <w:pStyle w:val="aa"/>
        <w:spacing w:line="276" w:lineRule="auto"/>
        <w:ind w:left="-24" w:firstLine="567"/>
        <w:jc w:val="both"/>
        <w:rPr>
          <w:rFonts w:asciiTheme="minorBidi" w:hAnsiTheme="minorBidi"/>
          <w:sz w:val="32"/>
          <w:szCs w:val="32"/>
          <w:rtl/>
        </w:rPr>
      </w:pPr>
      <w:r>
        <w:rPr>
          <w:rFonts w:asciiTheme="minorBidi" w:hAnsiTheme="minorBidi"/>
          <w:sz w:val="32"/>
          <w:szCs w:val="32"/>
          <w:rtl/>
          <w:lang w:bidi="ar-EG"/>
        </w:rPr>
        <w:t xml:space="preserve">ومِن حيث إن الطاعن يطلب الحكم بقبول الطعن شكلا، وفي الموضوع </w:t>
      </w:r>
      <w:r>
        <w:rPr>
          <w:rFonts w:asciiTheme="minorBidi" w:hAnsiTheme="minorBidi"/>
          <w:sz w:val="32"/>
          <w:szCs w:val="32"/>
          <w:rtl/>
        </w:rPr>
        <w:t xml:space="preserve">أولا: إلغاء القرار الصادر </w:t>
      </w:r>
      <w:r>
        <w:rPr>
          <w:rFonts w:asciiTheme="minorBidi" w:hAnsiTheme="minorBidi"/>
          <w:sz w:val="32"/>
          <w:szCs w:val="32"/>
          <w:rtl/>
          <w:lang w:bidi="ar-EG"/>
        </w:rPr>
        <w:t xml:space="preserve">بمجازاته بعقوبة الإنذار </w:t>
      </w:r>
      <w:r>
        <w:rPr>
          <w:rFonts w:asciiTheme="minorBidi" w:hAnsiTheme="minorBidi"/>
          <w:sz w:val="32"/>
          <w:szCs w:val="32"/>
          <w:rtl/>
        </w:rPr>
        <w:t>، مع ما يترتب على ذلك من آثار، مع إلزام الجهة الإدارية المصروفات .</w:t>
      </w:r>
    </w:p>
    <w:p w:rsidR="006148E5" w:rsidRDefault="006148E5" w:rsidP="00FA5218">
      <w:pPr>
        <w:bidi/>
        <w:spacing w:line="276" w:lineRule="auto"/>
        <w:ind w:left="-24" w:firstLine="567"/>
        <w:jc w:val="both"/>
        <w:rPr>
          <w:rFonts w:asciiTheme="minorBidi" w:hAnsiTheme="minorBidi"/>
          <w:sz w:val="32"/>
          <w:szCs w:val="32"/>
          <w:rtl/>
        </w:rPr>
      </w:pPr>
    </w:p>
    <w:p w:rsidR="006148E5" w:rsidRDefault="006148E5" w:rsidP="00FA5218">
      <w:pPr>
        <w:bidi/>
        <w:spacing w:line="276" w:lineRule="auto"/>
        <w:ind w:left="-24" w:firstLine="567"/>
        <w:jc w:val="both"/>
        <w:rPr>
          <w:rFonts w:asciiTheme="minorBidi" w:hAnsiTheme="minorBidi"/>
          <w:sz w:val="32"/>
          <w:szCs w:val="32"/>
          <w:rtl/>
          <w:lang w:bidi="ar-EG"/>
        </w:rPr>
      </w:pPr>
      <w:r>
        <w:rPr>
          <w:rFonts w:asciiTheme="minorBidi" w:hAnsiTheme="minorBidi"/>
          <w:sz w:val="32"/>
          <w:szCs w:val="32"/>
          <w:rtl/>
          <w:lang w:bidi="ar-EG"/>
        </w:rPr>
        <w:t>ومن حيث إن المادة الثالثة من مواد إصدار القانون رقم 47 لسنة 1972 بشأن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6148E5" w:rsidRDefault="006148E5" w:rsidP="00FA5218">
      <w:pPr>
        <w:bidi/>
        <w:spacing w:line="276" w:lineRule="auto"/>
        <w:ind w:left="-24" w:firstLine="567"/>
        <w:jc w:val="both"/>
        <w:rPr>
          <w:rFonts w:asciiTheme="minorBidi" w:hAnsiTheme="minorBidi" w:hint="cs"/>
          <w:sz w:val="32"/>
          <w:szCs w:val="32"/>
          <w:rtl/>
          <w:lang w:bidi="ar-EG"/>
        </w:rPr>
      </w:pPr>
      <w:r>
        <w:rPr>
          <w:rFonts w:asciiTheme="minorBidi" w:hAnsiTheme="minorBidi"/>
          <w:sz w:val="32"/>
          <w:szCs w:val="32"/>
          <w:rtl/>
          <w:lang w:bidi="ar-EG"/>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 عن أربعين جنيها ولا تجاوز أربعمائة جنيه........ويجوز للمحكمة بدلا من الحكم على المدعي بالغرامة أن تحكم بوقف الدعوى لمده لا تجاوز شهراً بعد سماع أقوال المدعي عليه.</w:t>
      </w:r>
    </w:p>
    <w:p w:rsidR="00FA5218" w:rsidRDefault="00FA5218" w:rsidP="00FA5218">
      <w:pPr>
        <w:bidi/>
        <w:spacing w:line="276" w:lineRule="auto"/>
        <w:ind w:left="-24" w:firstLine="567"/>
        <w:jc w:val="both"/>
        <w:rPr>
          <w:rFonts w:asciiTheme="minorBidi" w:hAnsiTheme="minorBidi"/>
          <w:sz w:val="32"/>
          <w:szCs w:val="32"/>
          <w:rtl/>
          <w:lang w:bidi="ar-EG"/>
        </w:rPr>
      </w:pPr>
    </w:p>
    <w:p w:rsidR="006148E5" w:rsidRDefault="006148E5" w:rsidP="00FA5218">
      <w:pPr>
        <w:bidi/>
        <w:spacing w:line="276" w:lineRule="auto"/>
        <w:ind w:left="-24" w:firstLine="567"/>
        <w:jc w:val="both"/>
        <w:rPr>
          <w:rFonts w:asciiTheme="minorBidi" w:hAnsiTheme="minorBidi"/>
          <w:sz w:val="32"/>
          <w:szCs w:val="32"/>
          <w:rtl/>
          <w:lang w:bidi="ar-EG"/>
        </w:rPr>
      </w:pPr>
      <w:r>
        <w:rPr>
          <w:rFonts w:asciiTheme="minorBidi" w:hAnsiTheme="minorBidi"/>
          <w:sz w:val="32"/>
          <w:szCs w:val="32"/>
          <w:rtl/>
          <w:lang w:bidi="ar-EG"/>
        </w:rPr>
        <w:t>وإذا مضت مدة الوقف ولم يطلب المدعي السير في دعواه خلال الخمسة عشر يوما التالية لانتهائها، أو لم ينفذ ما أمرت به المحكمة حكمت المحكمة باعتبار الدعوى كأن لم تكن".</w:t>
      </w:r>
    </w:p>
    <w:p w:rsidR="006148E5" w:rsidRDefault="006148E5" w:rsidP="00FA5218">
      <w:pPr>
        <w:pStyle w:val="ab"/>
        <w:bidi/>
        <w:spacing w:line="276" w:lineRule="auto"/>
        <w:ind w:left="-24" w:firstLine="567"/>
        <w:jc w:val="both"/>
        <w:rPr>
          <w:rFonts w:asciiTheme="minorBidi" w:eastAsiaTheme="minorEastAsia" w:hAnsiTheme="minorBidi" w:cstheme="minorBidi"/>
          <w:sz w:val="32"/>
          <w:szCs w:val="32"/>
          <w:rtl/>
          <w:lang w:bidi="ar-EG"/>
        </w:rPr>
      </w:pPr>
      <w:r>
        <w:rPr>
          <w:rFonts w:asciiTheme="minorBidi" w:eastAsiaTheme="minorEastAsia" w:hAnsiTheme="minorBidi" w:cstheme="minorBidi"/>
          <w:sz w:val="32"/>
          <w:szCs w:val="32"/>
          <w:rtl/>
          <w:lang w:bidi="ar-EG"/>
        </w:rPr>
        <w:t>ومن حيث إن مفاد النص المتقدم أن المشرع أجاز للمحكمة، بعد سماع أقوال المدعى عليه، أن تحكم بوقف الدعوى لمدة لا تجاوز شهراً بدلاً من الحكم بالغرامة على المدعي، وذلك إذا تخلف الأخير عن إيداع المستندات أو عن القيام بأي إجراء 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 كأن لم تكن. (المحكمة الإدارية العليا في الطعن رقم 5798 لسنة 50 ق. عليا جلسة 11/6/2011</w:t>
      </w:r>
      <w:r>
        <w:rPr>
          <w:rFonts w:asciiTheme="minorBidi" w:eastAsiaTheme="minorEastAsia" w:hAnsiTheme="minorBidi" w:cstheme="minorBidi"/>
          <w:sz w:val="32"/>
          <w:szCs w:val="32"/>
          <w:lang w:bidi="ar-EG"/>
        </w:rPr>
        <w:t>.(</w:t>
      </w:r>
    </w:p>
    <w:p w:rsidR="006148E5" w:rsidRDefault="006148E5" w:rsidP="00FA5218">
      <w:pPr>
        <w:pStyle w:val="ab"/>
        <w:bidi/>
        <w:spacing w:line="276" w:lineRule="auto"/>
        <w:ind w:left="-24" w:firstLine="567"/>
        <w:jc w:val="both"/>
        <w:rPr>
          <w:rFonts w:asciiTheme="minorBidi" w:eastAsiaTheme="minorEastAsia" w:hAnsiTheme="minorBidi" w:cstheme="minorBidi"/>
          <w:sz w:val="32"/>
          <w:szCs w:val="32"/>
          <w:rtl/>
          <w:lang w:bidi="ar-EG"/>
        </w:rPr>
      </w:pPr>
      <w:r>
        <w:rPr>
          <w:rFonts w:asciiTheme="minorBidi" w:eastAsiaTheme="minorEastAsia" w:hAnsiTheme="minorBidi" w:cstheme="minorBidi"/>
          <w:sz w:val="32"/>
          <w:szCs w:val="32"/>
          <w:rtl/>
          <w:lang w:bidi="ar-EG"/>
        </w:rPr>
        <w:t xml:space="preserve">ومن حيث إن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w:t>
      </w:r>
      <w:r>
        <w:rPr>
          <w:rFonts w:asciiTheme="minorBidi" w:eastAsiaTheme="minorEastAsia" w:hAnsiTheme="minorBidi" w:cstheme="minorBidi"/>
          <w:sz w:val="32"/>
          <w:szCs w:val="32"/>
          <w:rtl/>
          <w:lang w:bidi="ar-EG"/>
        </w:rPr>
        <w:lastRenderedPageBreak/>
        <w:t>الإجراءات اللازمة كان للمحكمة أن توقع عليهم الجزاءات المنصوص عليها فى قانون المرافعات وبما يتناسب وطبيعة الدعوى الإدارية. (المحكمة الإدارية العليا – الطعن رقم 13436 لسنة 48 ق – جلسة 14/9/2008)</w:t>
      </w:r>
    </w:p>
    <w:p w:rsidR="006148E5" w:rsidRDefault="006148E5" w:rsidP="00FA5218">
      <w:pPr>
        <w:bidi/>
        <w:spacing w:line="276" w:lineRule="auto"/>
        <w:ind w:left="-24" w:firstLine="567"/>
        <w:jc w:val="both"/>
        <w:rPr>
          <w:rFonts w:asciiTheme="minorBidi" w:eastAsiaTheme="minorEastAsia" w:hAnsiTheme="minorBidi" w:cstheme="minorBidi"/>
          <w:sz w:val="32"/>
          <w:szCs w:val="32"/>
          <w:rtl/>
          <w:lang w:bidi="ar-EG"/>
        </w:rPr>
      </w:pPr>
      <w:r>
        <w:rPr>
          <w:rFonts w:asciiTheme="minorBidi" w:hAnsiTheme="minorBidi"/>
          <w:sz w:val="32"/>
          <w:szCs w:val="32"/>
          <w:rtl/>
          <w:lang w:bidi="ar-EG"/>
        </w:rPr>
        <w:t xml:space="preserve">ومن حيث إنه متى كان ما تقدم، وكان الثابت من مطالعة محاضر الجلسات أن المحكمة بجلسة 22/12/2021 قررت تأجيل نظر الطعن لجلسة 26/1/2022 </w:t>
      </w:r>
      <w:r>
        <w:rPr>
          <w:rFonts w:asciiTheme="minorBidi" w:hAnsiTheme="minorBidi"/>
          <w:sz w:val="32"/>
          <w:szCs w:val="32"/>
          <w:rtl/>
        </w:rPr>
        <w:t xml:space="preserve">ليقدم الطاعن المستندات المؤيدة لطعنه </w:t>
      </w:r>
      <w:r>
        <w:rPr>
          <w:rFonts w:asciiTheme="minorBidi" w:hAnsiTheme="minorBidi"/>
          <w:sz w:val="32"/>
          <w:szCs w:val="32"/>
          <w:rtl/>
          <w:lang w:bidi="ar-EG"/>
        </w:rPr>
        <w:t xml:space="preserve">، وتم تأجيل نظر الطعن لذات السبب دون أن يحضر الطاعن على الرغم مما ثبت بالأوراق من قيام سكرتارية المحكمة بإخطاره على محل إقامته المبينة بصحيفة الطعن بموجب ثلاث إخطارات، ولكن دون جدوى. وإذ لم ينفذ الطاعن ما كلفته به المحكمة، فإنه يتعين والحال كذلك – القضاء بوقف الطعن جزائيا لمدة شهر إعمالا لحكم المادة (99) من قانون المرافعات المشار إليها. </w:t>
      </w:r>
    </w:p>
    <w:p w:rsidR="006148E5" w:rsidRPr="006148E5" w:rsidRDefault="006148E5" w:rsidP="00FA5218">
      <w:pPr>
        <w:bidi/>
        <w:spacing w:line="276" w:lineRule="auto"/>
        <w:ind w:left="-24" w:firstLine="567"/>
        <w:jc w:val="center"/>
        <w:rPr>
          <w:rFonts w:asciiTheme="minorBidi" w:hAnsiTheme="minorBidi"/>
          <w:b/>
          <w:bCs/>
          <w:color w:val="000000" w:themeColor="text1"/>
          <w:sz w:val="32"/>
          <w:szCs w:val="32"/>
          <w:u w:val="single"/>
        </w:rPr>
      </w:pPr>
      <w:r w:rsidRPr="006148E5">
        <w:rPr>
          <w:rFonts w:asciiTheme="minorBidi" w:hAnsiTheme="minorBidi"/>
          <w:b/>
          <w:bCs/>
          <w:color w:val="000000" w:themeColor="text1"/>
          <w:sz w:val="32"/>
          <w:szCs w:val="32"/>
          <w:u w:val="single"/>
          <w:rtl/>
        </w:rPr>
        <w:t>فلهذه الأسباب</w:t>
      </w:r>
    </w:p>
    <w:p w:rsidR="00A6000E" w:rsidRPr="006148E5" w:rsidRDefault="006148E5" w:rsidP="00FA5218">
      <w:pPr>
        <w:bidi/>
        <w:spacing w:line="276" w:lineRule="auto"/>
        <w:ind w:left="-24" w:firstLine="567"/>
        <w:rPr>
          <w:rFonts w:asciiTheme="minorBidi" w:hAnsiTheme="minorBidi"/>
          <w:color w:val="000000" w:themeColor="text1"/>
          <w:sz w:val="32"/>
          <w:szCs w:val="32"/>
          <w:rtl/>
        </w:rPr>
      </w:pPr>
      <w:r>
        <w:rPr>
          <w:rFonts w:asciiTheme="minorBidi" w:hAnsiTheme="minorBidi"/>
          <w:color w:val="000000" w:themeColor="text1"/>
          <w:sz w:val="32"/>
          <w:szCs w:val="32"/>
          <w:rtl/>
        </w:rPr>
        <w:tab/>
        <w:t>حكمت المحكمة: - بوقف الطعن جزائياً لمدة شهر.</w:t>
      </w:r>
    </w:p>
    <w:p w:rsidR="006C44F1" w:rsidRDefault="006C44F1" w:rsidP="006148E5">
      <w:pPr>
        <w:bidi/>
        <w:spacing w:after="240"/>
        <w:ind w:left="-24"/>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B63" w:rsidRDefault="005D3B63">
      <w:r>
        <w:separator/>
      </w:r>
    </w:p>
  </w:endnote>
  <w:endnote w:type="continuationSeparator" w:id="1">
    <w:p w:rsidR="005D3B63" w:rsidRDefault="005D3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F6CF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F6CF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A5218">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B63" w:rsidRDefault="005D3B63">
      <w:r>
        <w:separator/>
      </w:r>
    </w:p>
  </w:footnote>
  <w:footnote w:type="continuationSeparator" w:id="1">
    <w:p w:rsidR="005D3B63" w:rsidRDefault="005D3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148E5">
          <w:rPr>
            <w:rFonts w:hint="cs"/>
            <w:sz w:val="28"/>
            <w:szCs w:val="28"/>
            <w:u w:val="single"/>
            <w:rtl/>
            <w:lang w:bidi="ar-EG"/>
          </w:rPr>
          <w:t>في الطعن رقم 14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A0B"/>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BB7"/>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4B4"/>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B63"/>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8E5"/>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B32"/>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4E03"/>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144"/>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6CF4"/>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77C"/>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218"/>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99864351">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F33B4"/>
    <w:rsid w:val="00727606"/>
    <w:rsid w:val="00746796"/>
    <w:rsid w:val="00753243"/>
    <w:rsid w:val="00780A05"/>
    <w:rsid w:val="007941C2"/>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38A3"/>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814</Words>
  <Characters>4641</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2020-04-11T03:33:00Z</dcterms:modified>
  <cp:contentStatus>في الطعن رقم 14 لسنة 56 ق.</cp:contentStatus>
</cp:coreProperties>
</file>