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3E344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E3442">
        <w:rPr>
          <w:rFonts w:ascii="Arial" w:hAnsi="Arial" w:cs="Arial" w:hint="cs"/>
          <w:sz w:val="32"/>
          <w:szCs w:val="32"/>
          <w:rtl/>
          <w:lang w:bidi="ar-EG"/>
        </w:rPr>
        <w:t>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7254DB">
      <w:pPr>
        <w:tabs>
          <w:tab w:val="left" w:pos="3093"/>
          <w:tab w:val="center" w:pos="5233"/>
        </w:tabs>
        <w:bidi/>
        <w:spacing w:line="276" w:lineRule="auto"/>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7254DB">
          <w:pPr>
            <w:bidi/>
            <w:spacing w:line="276" w:lineRule="auto"/>
            <w:jc w:val="center"/>
            <w:rPr>
              <w:rFonts w:ascii="Arial" w:hAnsi="Arial" w:cs="Arial"/>
              <w:sz w:val="32"/>
              <w:szCs w:val="32"/>
              <w:rtl/>
            </w:rPr>
          </w:pPr>
          <w:r>
            <w:rPr>
              <w:rFonts w:ascii="Arial" w:hAnsi="Arial" w:cs="Arial" w:hint="cs"/>
              <w:sz w:val="32"/>
              <w:szCs w:val="32"/>
              <w:rtl/>
              <w:lang w:bidi="ar-EG"/>
            </w:rPr>
            <w:t xml:space="preserve">في الطعن رقم </w:t>
          </w:r>
          <w:r w:rsidR="003E778F">
            <w:rPr>
              <w:rFonts w:ascii="Arial" w:hAnsi="Arial" w:cs="Arial" w:hint="cs"/>
              <w:sz w:val="32"/>
              <w:szCs w:val="32"/>
              <w:rtl/>
              <w:lang w:bidi="ar-EG"/>
            </w:rPr>
            <w:t>71</w:t>
          </w:r>
          <w:r>
            <w:rPr>
              <w:rFonts w:ascii="Arial" w:hAnsi="Arial" w:cs="Arial" w:hint="cs"/>
              <w:sz w:val="32"/>
              <w:szCs w:val="32"/>
              <w:rtl/>
              <w:lang w:bidi="ar-EG"/>
            </w:rPr>
            <w:t xml:space="preserve"> لسنة </w:t>
          </w:r>
          <w:r w:rsidR="003E778F">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E778F" w:rsidRDefault="00EB485D" w:rsidP="007254DB">
      <w:pPr>
        <w:bidi/>
        <w:spacing w:line="276" w:lineRule="auto"/>
        <w:ind w:left="-58"/>
        <w:jc w:val="center"/>
        <w:outlineLvl w:val="0"/>
        <w:rPr>
          <w:rFonts w:asciiTheme="minorBidi" w:hAnsiTheme="minorBidi" w:hint="cs"/>
          <w:b/>
          <w:bCs/>
          <w:sz w:val="32"/>
          <w:szCs w:val="32"/>
          <w:rtl/>
          <w:lang w:bidi="ar-EG"/>
        </w:rPr>
      </w:pPr>
      <w:r>
        <w:rPr>
          <w:rFonts w:asciiTheme="minorBidi" w:hAnsiTheme="minorBidi"/>
          <w:b/>
          <w:bCs/>
          <w:sz w:val="32"/>
          <w:szCs w:val="32"/>
          <w:rtl/>
          <w:lang w:bidi="ar-EG"/>
        </w:rPr>
        <w:t xml:space="preserve">المقام من: </w:t>
      </w:r>
    </w:p>
    <w:p w:rsidR="00EB485D" w:rsidRPr="003E778F" w:rsidRDefault="00EB485D" w:rsidP="007254DB">
      <w:pPr>
        <w:bidi/>
        <w:spacing w:line="276" w:lineRule="auto"/>
        <w:ind w:left="-58"/>
        <w:jc w:val="center"/>
        <w:outlineLvl w:val="0"/>
        <w:rPr>
          <w:rFonts w:asciiTheme="minorBidi" w:hAnsiTheme="minorBidi"/>
          <w:sz w:val="32"/>
          <w:szCs w:val="32"/>
          <w:lang w:bidi="ar-EG"/>
        </w:rPr>
      </w:pPr>
      <w:r w:rsidRPr="003E778F">
        <w:rPr>
          <w:rFonts w:asciiTheme="minorBidi" w:hAnsiTheme="minorBidi"/>
          <w:sz w:val="32"/>
          <w:szCs w:val="32"/>
          <w:rtl/>
          <w:lang w:bidi="ar-EG"/>
        </w:rPr>
        <w:t>نجوى حامد أحمد سليمان.</w:t>
      </w:r>
    </w:p>
    <w:p w:rsidR="00EB485D" w:rsidRDefault="00EB485D" w:rsidP="007254DB">
      <w:pPr>
        <w:bidi/>
        <w:spacing w:line="276" w:lineRule="auto"/>
        <w:ind w:left="-58"/>
        <w:jc w:val="center"/>
        <w:outlineLvl w:val="0"/>
        <w:rPr>
          <w:rFonts w:asciiTheme="minorBidi" w:hAnsiTheme="minorBidi"/>
          <w:b/>
          <w:bCs/>
          <w:sz w:val="32"/>
          <w:szCs w:val="32"/>
          <w:rtl/>
          <w:lang w:bidi="ar-EG"/>
        </w:rPr>
      </w:pPr>
      <w:r>
        <w:rPr>
          <w:rFonts w:asciiTheme="minorBidi" w:hAnsiTheme="minorBidi"/>
          <w:b/>
          <w:bCs/>
          <w:sz w:val="32"/>
          <w:szCs w:val="32"/>
          <w:rtl/>
          <w:lang w:bidi="ar-EG"/>
        </w:rPr>
        <w:t>ضــــــــــــــد</w:t>
      </w:r>
    </w:p>
    <w:p w:rsidR="00EB485D" w:rsidRPr="003E778F" w:rsidRDefault="00EB485D" w:rsidP="007254DB">
      <w:pPr>
        <w:pStyle w:val="a9"/>
        <w:numPr>
          <w:ilvl w:val="0"/>
          <w:numId w:val="35"/>
        </w:numPr>
        <w:overflowPunct w:val="0"/>
        <w:autoSpaceDE w:val="0"/>
        <w:autoSpaceDN w:val="0"/>
        <w:bidi/>
        <w:adjustRightInd w:val="0"/>
        <w:spacing w:line="276" w:lineRule="auto"/>
        <w:ind w:left="-58"/>
        <w:jc w:val="center"/>
        <w:textAlignment w:val="baseline"/>
        <w:rPr>
          <w:rFonts w:asciiTheme="minorBidi" w:hAnsiTheme="minorBidi" w:cstheme="minorBidi"/>
          <w:sz w:val="32"/>
          <w:szCs w:val="32"/>
          <w:u w:val="single"/>
          <w:rtl/>
        </w:rPr>
      </w:pPr>
      <w:r w:rsidRPr="003E778F">
        <w:rPr>
          <w:rFonts w:asciiTheme="minorBidi" w:hAnsiTheme="minorBidi" w:cstheme="minorBidi"/>
          <w:sz w:val="32"/>
          <w:szCs w:val="32"/>
          <w:u w:val="single"/>
          <w:rtl/>
        </w:rPr>
        <w:t>وزير الكهرباء والطاقة المتجددة</w:t>
      </w:r>
    </w:p>
    <w:p w:rsidR="00EB485D" w:rsidRPr="003E778F" w:rsidRDefault="00EB485D" w:rsidP="007254DB">
      <w:pPr>
        <w:pStyle w:val="a9"/>
        <w:numPr>
          <w:ilvl w:val="0"/>
          <w:numId w:val="35"/>
        </w:numPr>
        <w:overflowPunct w:val="0"/>
        <w:autoSpaceDE w:val="0"/>
        <w:autoSpaceDN w:val="0"/>
        <w:bidi/>
        <w:adjustRightInd w:val="0"/>
        <w:spacing w:line="276" w:lineRule="auto"/>
        <w:ind w:left="-58"/>
        <w:jc w:val="center"/>
        <w:textAlignment w:val="baseline"/>
        <w:rPr>
          <w:rFonts w:asciiTheme="minorBidi" w:hAnsiTheme="minorBidi" w:cstheme="minorBidi"/>
          <w:sz w:val="32"/>
          <w:szCs w:val="32"/>
          <w:u w:val="single"/>
        </w:rPr>
      </w:pPr>
      <w:r w:rsidRPr="003E778F">
        <w:rPr>
          <w:rFonts w:asciiTheme="minorBidi" w:hAnsiTheme="minorBidi" w:cstheme="minorBidi"/>
          <w:sz w:val="32"/>
          <w:szCs w:val="32"/>
          <w:u w:val="single"/>
          <w:rtl/>
        </w:rPr>
        <w:t>الرئيس التنفيذي لهيئة تنفيذ مشروعات المحطات المائية لتوليد الكهرباء.</w:t>
      </w:r>
    </w:p>
    <w:p w:rsidR="00EB485D" w:rsidRDefault="00EB485D" w:rsidP="00EB485D">
      <w:pPr>
        <w:pStyle w:val="a9"/>
        <w:overflowPunct w:val="0"/>
        <w:autoSpaceDE w:val="0"/>
        <w:autoSpaceDN w:val="0"/>
        <w:bidi/>
        <w:adjustRightInd w:val="0"/>
        <w:ind w:left="-58"/>
        <w:textAlignment w:val="baseline"/>
        <w:rPr>
          <w:rFonts w:asciiTheme="minorBidi" w:hAnsiTheme="minorBidi" w:cstheme="minorBidi"/>
          <w:b/>
          <w:bCs/>
          <w:sz w:val="32"/>
          <w:szCs w:val="32"/>
          <w:u w:val="single"/>
        </w:rPr>
      </w:pPr>
    </w:p>
    <w:p w:rsidR="00EB485D" w:rsidRDefault="00EB485D" w:rsidP="003E778F">
      <w:pPr>
        <w:overflowPunct w:val="0"/>
        <w:autoSpaceDE w:val="0"/>
        <w:autoSpaceDN w:val="0"/>
        <w:bidi/>
        <w:adjustRightInd w:val="0"/>
        <w:ind w:left="-58" w:firstLine="34"/>
        <w:textAlignment w:val="baseline"/>
        <w:rPr>
          <w:rFonts w:asciiTheme="minorBidi" w:hAnsiTheme="minorBidi" w:cstheme="minorBidi"/>
          <w:sz w:val="32"/>
          <w:szCs w:val="32"/>
          <w:rtl/>
        </w:rPr>
      </w:pPr>
      <w:r>
        <w:rPr>
          <w:rFonts w:asciiTheme="minorBidi" w:hAnsiTheme="minorBidi"/>
          <w:b/>
          <w:bCs/>
          <w:sz w:val="32"/>
          <w:szCs w:val="32"/>
          <w:u w:val="single"/>
          <w:rtl/>
        </w:rPr>
        <w:t>الوقائع</w:t>
      </w:r>
    </w:p>
    <w:p w:rsidR="00EB485D" w:rsidRDefault="00EB485D" w:rsidP="00E87DDE">
      <w:pPr>
        <w:pStyle w:val="aa"/>
        <w:spacing w:after="240" w:line="276" w:lineRule="auto"/>
        <w:ind w:left="-58" w:firstLine="601"/>
        <w:jc w:val="both"/>
        <w:rPr>
          <w:rFonts w:asciiTheme="minorBidi" w:hAnsiTheme="minorBidi"/>
          <w:sz w:val="32"/>
          <w:szCs w:val="32"/>
          <w:rtl/>
        </w:rPr>
      </w:pPr>
      <w:r>
        <w:rPr>
          <w:rFonts w:asciiTheme="minorBidi" w:hAnsiTheme="minorBidi"/>
          <w:sz w:val="32"/>
          <w:szCs w:val="32"/>
          <w:rtl/>
        </w:rPr>
        <w:t>أقامت الطاعنة طعنها الماثل بإيداع صحيفته قلم كتاب هذه المحكمة بتاريخ 3/3/2022، وطلبت في ختامه الحكم بقبول الطعن شكلا، وبإلغاء القرار المطعون فيه رقم 81 لسنة 2021 الصادر بناءً على قرار لجنة التأديب رقم 75 لسنة 2020 فيما تضمنه من مجازاة الطاعنة بعقوبة التنبيه، مع ما يترتب على ذلك من آثار,</w:t>
      </w:r>
      <w:r w:rsidR="003E778F">
        <w:rPr>
          <w:rFonts w:asciiTheme="minorBidi" w:hAnsiTheme="minorBidi" w:hint="cs"/>
          <w:sz w:val="32"/>
          <w:szCs w:val="32"/>
          <w:rtl/>
        </w:rPr>
        <w:t>وإلزام</w:t>
      </w:r>
      <w:r>
        <w:rPr>
          <w:rFonts w:asciiTheme="minorBidi" w:hAnsiTheme="minorBidi"/>
          <w:sz w:val="32"/>
          <w:szCs w:val="32"/>
          <w:rtl/>
        </w:rPr>
        <w:t xml:space="preserve"> المطعون ضدهما المصروفات ومقابل أتعاب المحاماة.</w:t>
      </w:r>
    </w:p>
    <w:p w:rsidR="00EB485D" w:rsidRDefault="00EB485D" w:rsidP="00E87DDE">
      <w:pPr>
        <w:bidi/>
        <w:spacing w:after="240" w:line="276" w:lineRule="auto"/>
        <w:ind w:left="-58" w:firstLine="601"/>
        <w:jc w:val="both"/>
        <w:rPr>
          <w:rFonts w:asciiTheme="minorBidi" w:hAnsiTheme="minorBidi"/>
          <w:sz w:val="32"/>
          <w:szCs w:val="32"/>
          <w:lang w:bidi="ar-EG"/>
        </w:rPr>
      </w:pPr>
      <w:r>
        <w:rPr>
          <w:rFonts w:asciiTheme="minorBidi" w:hAnsiTheme="minorBidi"/>
          <w:sz w:val="32"/>
          <w:szCs w:val="32"/>
          <w:rtl/>
          <w:lang w:bidi="ar-EG"/>
        </w:rPr>
        <w:t xml:space="preserve">وذكرت الطاعنة شرحا لطعنها، أنها تشغل وظيفة مدير عام </w:t>
      </w:r>
      <w:r>
        <w:rPr>
          <w:rFonts w:asciiTheme="minorBidi" w:hAnsiTheme="minorBidi" w:hint="cs"/>
          <w:sz w:val="32"/>
          <w:szCs w:val="32"/>
          <w:rtl/>
          <w:lang w:bidi="ar-EG"/>
        </w:rPr>
        <w:t>الإدارة</w:t>
      </w:r>
      <w:r>
        <w:rPr>
          <w:rFonts w:asciiTheme="minorBidi" w:hAnsiTheme="minorBidi"/>
          <w:sz w:val="32"/>
          <w:szCs w:val="32"/>
          <w:rtl/>
          <w:lang w:bidi="ar-EG"/>
        </w:rPr>
        <w:t xml:space="preserve"> العامة لدراسات الأعمال المساحية والمدنية بهيئة تنفيذ مشروعات المحطات المائية لتوليد الكهرباء، و</w:t>
      </w:r>
      <w:r>
        <w:rPr>
          <w:rFonts w:asciiTheme="minorBidi" w:hAnsiTheme="minorBidi"/>
          <w:sz w:val="32"/>
          <w:szCs w:val="32"/>
          <w:rtl/>
        </w:rPr>
        <w:t>بتاريخ 9/12/2021 صدر قرار الهيئة المطعون فيه رقم 81 لسنة 2021 بمجازاتها بعقوبة التنبيه وذلك تنفيذاً لقرار لجنة التأديب رقم 75 لسنة 2020 وقرار لجنة التظلمات رقم 43 لسنة 2021</w:t>
      </w:r>
      <w:r>
        <w:rPr>
          <w:rFonts w:asciiTheme="minorBidi" w:hAnsiTheme="minorBidi"/>
          <w:sz w:val="32"/>
          <w:szCs w:val="32"/>
          <w:rtl/>
          <w:lang w:bidi="ar-EG"/>
        </w:rPr>
        <w:t xml:space="preserve"> الصادر في التظلم رقم (6) لسنة 2021، وذلك لما نسب اليه في قضية النيابة </w:t>
      </w:r>
      <w:r>
        <w:rPr>
          <w:rFonts w:asciiTheme="minorBidi" w:hAnsiTheme="minorBidi" w:hint="cs"/>
          <w:sz w:val="32"/>
          <w:szCs w:val="32"/>
          <w:rtl/>
          <w:lang w:bidi="ar-EG"/>
        </w:rPr>
        <w:t>الإدارية</w:t>
      </w:r>
      <w:r>
        <w:rPr>
          <w:rFonts w:asciiTheme="minorBidi" w:hAnsiTheme="minorBidi"/>
          <w:sz w:val="32"/>
          <w:szCs w:val="32"/>
          <w:rtl/>
          <w:lang w:bidi="ar-EG"/>
        </w:rPr>
        <w:t xml:space="preserve"> رقم (81) لسنة 2020, وإذ تنع الطاعنة على القرار المطعون فيه مخالفته للدستور والقانون لصدوره من لجنة التأديب المشكلة بقرار رئيس هيئة النيابة الإدارية رقم (129) لسنة 2016، فقد تظلمت من هذا القرار، ثم لجأت إلى لجنة التوفيق في المنازعات، ومن ثم أقامت طعنها الماثل بطلباتها آنفة البيان.</w:t>
      </w:r>
    </w:p>
    <w:p w:rsidR="00EB485D" w:rsidRDefault="00EB485D" w:rsidP="00E87DDE">
      <w:pPr>
        <w:bidi/>
        <w:spacing w:before="120" w:after="240" w:line="276" w:lineRule="auto"/>
        <w:ind w:left="-58" w:firstLine="601"/>
        <w:jc w:val="both"/>
        <w:rPr>
          <w:rFonts w:asciiTheme="minorBidi" w:hAnsiTheme="minorBidi"/>
          <w:sz w:val="32"/>
          <w:szCs w:val="32"/>
          <w:rtl/>
          <w:lang w:bidi="ar-EG"/>
        </w:rPr>
      </w:pPr>
      <w:r w:rsidRPr="00EB485D">
        <w:rPr>
          <w:rFonts w:asciiTheme="minorBidi" w:hAnsiTheme="minorBidi"/>
          <w:sz w:val="32"/>
          <w:szCs w:val="32"/>
          <w:rtl/>
        </w:rPr>
        <w:t>وتحدد لنظر الطعن أمام هذه المحكمة جلسة 23/3/2022</w:t>
      </w:r>
      <w:r w:rsidRPr="00EB485D">
        <w:rPr>
          <w:rFonts w:asciiTheme="minorBidi" w:hAnsiTheme="minorBidi"/>
          <w:sz w:val="32"/>
          <w:szCs w:val="32"/>
          <w:rtl/>
          <w:lang w:bidi="ar-EG"/>
        </w:rPr>
        <w:t>, وتداولت المحكمة نظر  الطعن بجلسات</w:t>
      </w:r>
      <w:r>
        <w:rPr>
          <w:rFonts w:asciiTheme="minorBidi" w:hAnsiTheme="minorBidi"/>
          <w:sz w:val="32"/>
          <w:szCs w:val="32"/>
          <w:rtl/>
          <w:lang w:bidi="ar-EG"/>
        </w:rPr>
        <w:t xml:space="preserve"> المرافعة على النحو الثابت بمحاضر الجلسات, قدمت خلالها الطاعنة أربع حوافظ مستندات طويت على المستندات المعلاة على غلافها, وقدم الحاضر عن الهيئة المطعون ضدها حافظة مستندات طويت على المستندات المعلاة على غلافها, وبجلسة 22/6/2022 قررت المحكمة حجز الطعن للحكم بجلسة اليوم, </w:t>
      </w:r>
      <w:r>
        <w:rPr>
          <w:rFonts w:asciiTheme="minorBidi" w:hAnsiTheme="minorBidi"/>
          <w:sz w:val="32"/>
          <w:szCs w:val="32"/>
          <w:rtl/>
        </w:rPr>
        <w:t xml:space="preserve">وفيها </w:t>
      </w:r>
      <w:r>
        <w:rPr>
          <w:rFonts w:asciiTheme="minorBidi" w:hAnsiTheme="minorBidi"/>
          <w:sz w:val="32"/>
          <w:szCs w:val="32"/>
          <w:rtl/>
          <w:lang w:bidi="ar-AE"/>
        </w:rPr>
        <w:t>صدر الحكم وأودعت مسودته متضمنة أسبابه عند النطق به.</w:t>
      </w:r>
    </w:p>
    <w:p w:rsidR="00EB485D" w:rsidRDefault="00EB485D" w:rsidP="00E87DDE">
      <w:pPr>
        <w:bidi/>
        <w:spacing w:after="240" w:line="276" w:lineRule="auto"/>
        <w:ind w:left="-58" w:firstLine="601"/>
        <w:jc w:val="center"/>
        <w:outlineLvl w:val="0"/>
        <w:rPr>
          <w:rFonts w:asciiTheme="minorBidi" w:hAnsiTheme="minorBidi"/>
          <w:b/>
          <w:bCs/>
          <w:sz w:val="32"/>
          <w:szCs w:val="32"/>
          <w:rtl/>
        </w:rPr>
      </w:pPr>
      <w:r>
        <w:rPr>
          <w:rFonts w:asciiTheme="minorBidi" w:hAnsiTheme="minorBidi"/>
          <w:b/>
          <w:bCs/>
          <w:sz w:val="32"/>
          <w:szCs w:val="32"/>
          <w:rtl/>
        </w:rPr>
        <w:lastRenderedPageBreak/>
        <w:t>المحكمة</w:t>
      </w:r>
    </w:p>
    <w:p w:rsidR="00EB485D" w:rsidRPr="00EB485D" w:rsidRDefault="00EB485D" w:rsidP="00E87DDE">
      <w:pPr>
        <w:bidi/>
        <w:spacing w:after="240" w:line="276" w:lineRule="auto"/>
        <w:ind w:left="-58" w:firstLine="601"/>
        <w:outlineLvl w:val="0"/>
        <w:rPr>
          <w:rFonts w:asciiTheme="minorBidi" w:hAnsiTheme="minorBidi"/>
          <w:sz w:val="32"/>
          <w:szCs w:val="32"/>
          <w:rtl/>
        </w:rPr>
      </w:pPr>
      <w:r w:rsidRPr="00EB485D">
        <w:rPr>
          <w:rFonts w:asciiTheme="minorBidi" w:hAnsiTheme="minorBidi"/>
          <w:sz w:val="32"/>
          <w:szCs w:val="32"/>
          <w:rtl/>
        </w:rPr>
        <w:t>بعد الاطلاع على الأوراق، وسماع الإيضاحات والمداولة قانوناً.</w:t>
      </w:r>
    </w:p>
    <w:p w:rsidR="00EB485D" w:rsidRDefault="00EB485D" w:rsidP="00E87DDE">
      <w:pPr>
        <w:pStyle w:val="aa"/>
        <w:spacing w:after="240" w:line="276" w:lineRule="auto"/>
        <w:ind w:left="-58" w:firstLine="601"/>
        <w:jc w:val="both"/>
        <w:rPr>
          <w:rFonts w:asciiTheme="minorBidi" w:hAnsiTheme="minorBidi"/>
          <w:sz w:val="32"/>
          <w:szCs w:val="32"/>
          <w:u w:val="single"/>
          <w:rtl/>
        </w:rPr>
      </w:pPr>
      <w:r>
        <w:rPr>
          <w:rFonts w:asciiTheme="minorBidi" w:hAnsiTheme="minorBidi"/>
          <w:sz w:val="32"/>
          <w:szCs w:val="32"/>
          <w:rtl/>
        </w:rPr>
        <w:t xml:space="preserve">ومن حيث إن الطاعنة تطلب الحكم بقبول الطعن شكلاً, وفى الموضوع ببطلان قرار لجنة التأديب بالنيابة </w:t>
      </w:r>
      <w:r>
        <w:rPr>
          <w:rFonts w:asciiTheme="minorBidi" w:hAnsiTheme="minorBidi" w:hint="cs"/>
          <w:sz w:val="32"/>
          <w:szCs w:val="32"/>
          <w:rtl/>
        </w:rPr>
        <w:t>الإدارية</w:t>
      </w:r>
      <w:r>
        <w:rPr>
          <w:rFonts w:asciiTheme="minorBidi" w:hAnsiTheme="minorBidi"/>
          <w:sz w:val="32"/>
          <w:szCs w:val="32"/>
          <w:rtl/>
        </w:rPr>
        <w:t xml:space="preserve"> رقم (75) لسنة 2020 الصادر بتاريخ 11/10/2020, وقرار لجنة التظلمات رقم (6) لسنة 2021, فيما تضمناه من مجازاتها بعقوبة التنبيه، وببطلان الأمر التنفيذي لجهة الإدارة رقم (81) لسنة 2021 الصادر تنفيذا لهما بتاريخ 9/12/2021، مع ما يترتب على ذلك من آثار, </w:t>
      </w:r>
      <w:r>
        <w:rPr>
          <w:rFonts w:asciiTheme="minorBidi" w:hAnsiTheme="minorBidi" w:hint="cs"/>
          <w:sz w:val="32"/>
          <w:szCs w:val="32"/>
          <w:rtl/>
        </w:rPr>
        <w:t>وإلزام</w:t>
      </w:r>
      <w:r>
        <w:rPr>
          <w:rFonts w:asciiTheme="minorBidi" w:hAnsiTheme="minorBidi"/>
          <w:sz w:val="32"/>
          <w:szCs w:val="32"/>
          <w:rtl/>
        </w:rPr>
        <w:t xml:space="preserve"> جهة </w:t>
      </w:r>
      <w:r>
        <w:rPr>
          <w:rFonts w:asciiTheme="minorBidi" w:hAnsiTheme="minorBidi" w:hint="cs"/>
          <w:sz w:val="32"/>
          <w:szCs w:val="32"/>
          <w:rtl/>
        </w:rPr>
        <w:t>الإدارة</w:t>
      </w:r>
      <w:r>
        <w:rPr>
          <w:rFonts w:asciiTheme="minorBidi" w:hAnsiTheme="minorBidi"/>
          <w:sz w:val="32"/>
          <w:szCs w:val="32"/>
          <w:rtl/>
        </w:rPr>
        <w:t xml:space="preserve"> المصروفات.</w:t>
      </w:r>
    </w:p>
    <w:p w:rsidR="00EB485D" w:rsidRDefault="00EB485D" w:rsidP="00E87DDE">
      <w:pPr>
        <w:tabs>
          <w:tab w:val="left" w:pos="518"/>
        </w:tabs>
        <w:bidi/>
        <w:spacing w:after="240" w:line="276" w:lineRule="auto"/>
        <w:ind w:left="-58" w:firstLine="601"/>
        <w:jc w:val="both"/>
        <w:rPr>
          <w:rFonts w:asciiTheme="minorBidi" w:hAnsiTheme="minorBidi"/>
          <w:sz w:val="32"/>
          <w:szCs w:val="32"/>
          <w:rtl/>
        </w:rPr>
      </w:pPr>
      <w:r>
        <w:rPr>
          <w:rFonts w:asciiTheme="minorBidi" w:hAnsiTheme="minorBidi"/>
          <w:sz w:val="32"/>
          <w:szCs w:val="32"/>
          <w:rtl/>
        </w:rPr>
        <w:t>ومن حيث إن الفصل في شكل الطعن لن يتحدد إلا في ضوء ما تنتهي إليه المحكمة في موضوعه، لذا فإن المحكمة ترجئ الفصل في شكل الطعن إلى ما بعد بحث موضوعه.</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(94) من دستور جمهورية مصر العربية تنص على أن "سيادة القانون أساس الحكم في الدولة، وتخضع الدولة للقانون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(101) منه على أن "يتولى مجلس النواب سلطة التشريع، .........وذلك كله على النحو المبين في الدستور".</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(156) منه على أنه "إذا حدث في غير دور انعقاد مجلس النواب ما يوجب الإسراع في اتخاذ تدابير لا تحتمل التأخير يدعو رئيس الجمهورية المجلس لإنعقاد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(197) منه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(227) منه على أن "يشكل الدستور بديباجته وجميع نصوصه نسيجا مترابطاً، وكلاً لا يتجزأ، وتتكامل أحكامه في وحدة عضوية متماسكة".</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(1) من القرار بقانون رقم 117 لسنة 1958 بإعادة تنظيم النيابة الإدارية والمحاكمات التأديبية، وتعديلاته تنص على أن "النيابة الإدارية هيئة قضائية مستقلة تلحق بوزير العدل، وتشكل الهيئة من رئيس ومن عدد كاف من نواب الرئيس ومن الوكلاء العامين الأولين والوكلاء العامين ورؤساء النيابة من الفئتين (أ ، ب) ووكلاء النيابة من الفئة الممتازة ووكلاء النيابة ومساعديها ومعاونيها وأعضاء النيابة الإدارية يتبعون رؤسائهم بترتيب درجاتهم وهم جميعا يتبعون وزير العدل وللوزير حق الرقابة والإشراف على النيابة وأعضائها، ولرئيس الهيئة حق الرقابة والإشراف على جميع أعضاء النيابة الإدارية".</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(3) منه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 (1)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(2) فحص الشكاوى التي تحال إليها من الرؤساء المختصين أو من أي جهة رسمية عن مخالفة القانون أو الإهمال في أداء واجبات الوظيفة.</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w:t>
      </w:r>
      <w:r w:rsidR="00E71A09">
        <w:rPr>
          <w:rFonts w:asciiTheme="minorBidi" w:hAnsiTheme="minorBidi"/>
          <w:sz w:val="32"/>
          <w:szCs w:val="32"/>
          <w:shd w:val="clear" w:color="auto" w:fill="FFFFFF"/>
          <w:rtl/>
        </w:rPr>
        <w:t>التي يثبت الفحص جديتها ........</w:t>
      </w:r>
      <w:r>
        <w:rPr>
          <w:rFonts w:asciiTheme="minorBidi" w:hAnsiTheme="minorBidi"/>
          <w:sz w:val="32"/>
          <w:szCs w:val="32"/>
          <w:shd w:val="clear" w:color="auto" w:fill="FFFFFF"/>
          <w:rtl/>
        </w:rPr>
        <w:t xml:space="preserve">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(4) منه على أن " تتولى النيابة الإدارية إقامة الدعوى التأديبية ومباشرتها أمام المحاكم التأديبية.......".</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 منه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Pr>
      </w:pPr>
      <w:r>
        <w:rPr>
          <w:rFonts w:asciiTheme="minorBidi" w:hAnsiTheme="minorBidi"/>
          <w:sz w:val="32"/>
          <w:szCs w:val="32"/>
          <w:shd w:val="clear" w:color="auto" w:fill="FFFFFF"/>
          <w:rtl/>
        </w:rPr>
        <w:lastRenderedPageBreak/>
        <w:t xml:space="preserve">وتنص المادة (14) منه على أنه " إذا رأت النيابة الإدارية أن المخالفة تستوجب جزاءً أشد مما تملكه الجهة </w:t>
      </w:r>
      <w:r>
        <w:rPr>
          <w:rFonts w:asciiTheme="minorBidi" w:hAnsiTheme="minorBidi" w:hint="cs"/>
          <w:sz w:val="32"/>
          <w:szCs w:val="32"/>
          <w:shd w:val="clear" w:color="auto" w:fill="FFFFFF"/>
          <w:rtl/>
        </w:rPr>
        <w:t>الإدارية</w:t>
      </w:r>
      <w:r>
        <w:rPr>
          <w:rFonts w:asciiTheme="minorBidi" w:hAnsiTheme="minorBidi"/>
          <w:sz w:val="32"/>
          <w:szCs w:val="32"/>
          <w:shd w:val="clear" w:color="auto" w:fill="FFFFFF"/>
          <w:rtl/>
        </w:rPr>
        <w:t xml:space="preserve"> أحالت النيابة الإدارية الأوراق إلى المحكمة التأديبية المختصة مع إخطار الجهة التي يتبعها العامل بالإحالة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(57) من قانون الخدمة المدنية الصادر بالقرار بقانون رقم 18 لسنة 2015 تنص على أن "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EB485D" w:rsidRDefault="00EB485D" w:rsidP="00E87DDE">
      <w:pPr>
        <w:tabs>
          <w:tab w:val="left" w:pos="10432"/>
        </w:tabs>
        <w:bidi/>
        <w:spacing w:after="240" w:line="276" w:lineRule="auto"/>
        <w:ind w:left="-58" w:firstLine="601"/>
        <w:jc w:val="both"/>
        <w:rPr>
          <w:rFonts w:asciiTheme="minorBidi" w:hAnsiTheme="minorBidi"/>
          <w:sz w:val="32"/>
          <w:szCs w:val="32"/>
        </w:rPr>
      </w:pPr>
      <w:r>
        <w:rPr>
          <w:rFonts w:asciiTheme="minorBidi" w:hAnsiTheme="minorBidi"/>
          <w:sz w:val="32"/>
          <w:szCs w:val="32"/>
          <w:rtl/>
        </w:rPr>
        <w:t>ومن حيث إن قرار مجلس النواب رقم (1) لسنة 2016 بعدم إقرار القرار بقانون رقم 18 لسنة 2015 بإصدار قانون الخدمة المدنية واعتماد نفاذه حتى 20/1/2016 نص ف</w:t>
      </w:r>
      <w:r>
        <w:rPr>
          <w:rFonts w:asciiTheme="minorBidi" w:hAnsiTheme="minorBidi"/>
          <w:sz w:val="32"/>
          <w:szCs w:val="32"/>
          <w:rtl/>
          <w:lang w:bidi="ar-EG"/>
        </w:rPr>
        <w:t>ي</w:t>
      </w:r>
      <w:r>
        <w:rPr>
          <w:rFonts w:asciiTheme="minorBidi" w:hAnsiTheme="minorBidi"/>
          <w:sz w:val="32"/>
          <w:szCs w:val="32"/>
          <w:rtl/>
        </w:rPr>
        <w:t xml:space="preserve"> المادة الأولى منه على أن: "قرر مجلس النواب عدم إقرار القرار بقانون رقم 18 لسنة 2015 بإصدار قانون الخدمة المدنية، مع اعتماد نفاذه في الفترة من تاريخ صدوره في 12/3/2015 إلى 20/1/2016، وما يترتب على ذلك من آثار".</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rtl/>
        </w:rPr>
        <w:t>ومن حيث إن المادة (60) من قانون الخدمة المدنية الصادر بالقانون رقم 81 لسنة 2016 تنص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w:t>
      </w:r>
      <w:r>
        <w:rPr>
          <w:rFonts w:asciiTheme="minorBidi" w:hAnsiTheme="minorBidi"/>
          <w:sz w:val="32"/>
          <w:szCs w:val="32"/>
          <w:shd w:val="clear" w:color="auto" w:fill="FFFFFF"/>
          <w:rtl/>
        </w:rPr>
        <w:t xml:space="preserve"> </w:t>
      </w:r>
      <w:r>
        <w:rPr>
          <w:rFonts w:asciiTheme="minorBidi" w:hAnsiTheme="minorBidi"/>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والحفظ.</w:t>
      </w:r>
      <w:r>
        <w:rPr>
          <w:rFonts w:asciiTheme="minorBidi" w:hAnsiTheme="minorBidi"/>
          <w:sz w:val="32"/>
          <w:szCs w:val="32"/>
          <w:shd w:val="clear" w:color="auto" w:fill="FFFFFF"/>
          <w:rtl/>
        </w:rPr>
        <w:t xml:space="preserve"> </w:t>
      </w:r>
      <w:r>
        <w:rPr>
          <w:rFonts w:asciiTheme="minorBidi" w:hAnsiTheme="minorBidi"/>
          <w:sz w:val="32"/>
          <w:szCs w:val="32"/>
          <w:rtl/>
        </w:rPr>
        <w:t>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وتنص المادة (38) من ذات القرار على أن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قضاء المحكمة الدستورية العليا قد 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من المقرر أن ولاية التأديب لا تملكها سوى الجهة التي ناط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سبيل الحصر. (المحكمة الإدارية العليا في الطعن رقم (18363) لسنة 50ق. عليا بجلسة 27/5/2006).</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EB485D" w:rsidRDefault="00EB485D" w:rsidP="00E87DDE">
      <w:pPr>
        <w:tabs>
          <w:tab w:val="left" w:pos="10432"/>
        </w:tabs>
        <w:bidi/>
        <w:spacing w:after="240" w:line="276" w:lineRule="auto"/>
        <w:ind w:left="-58" w:firstLine="601"/>
        <w:jc w:val="both"/>
        <w:rPr>
          <w:rFonts w:asciiTheme="minorBidi" w:hAnsiTheme="minorBidi"/>
          <w:sz w:val="32"/>
          <w:szCs w:val="32"/>
          <w:rtl/>
        </w:rPr>
      </w:pPr>
      <w:r>
        <w:rPr>
          <w:rFonts w:asciiTheme="minorBidi" w:hAnsiTheme="minorBidi"/>
          <w:sz w:val="32"/>
          <w:szCs w:val="32"/>
          <w:shd w:val="clear" w:color="auto" w:fill="FFFFFF"/>
          <w:rtl/>
        </w:rPr>
        <w:t xml:space="preserve">ومن حيث إن </w:t>
      </w:r>
      <w:r>
        <w:rPr>
          <w:rStyle w:val="uficommentbody"/>
          <w:rFonts w:asciiTheme="minorBidi" w:hAnsiTheme="minorBidi"/>
          <w:sz w:val="32"/>
          <w:szCs w:val="32"/>
          <w:rtl/>
        </w:rPr>
        <w:t xml:space="preserve">نصوص الدستور المصري من حيث نفاذها تنقسم إلى طائفتين، الطائفة الأولى: تشمل النصوص التي تنفذ بذاتها دون حاجة إلى تدخل من المشرع ...... أما الطائفة الثانية: فتشمل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w:t>
      </w:r>
      <w:r>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سلطة توقيع الجزاءات التأديبية </w:t>
      </w:r>
      <w:r>
        <w:rPr>
          <w:rStyle w:val="uficommentbody"/>
          <w:rFonts w:asciiTheme="minorBidi" w:hAnsiTheme="minorBidi" w:hint="cs"/>
          <w:sz w:val="32"/>
          <w:szCs w:val="32"/>
          <w:rtl/>
        </w:rPr>
        <w:t>إذ</w:t>
      </w:r>
      <w:r>
        <w:rPr>
          <w:rStyle w:val="uficommentbody"/>
          <w:rFonts w:asciiTheme="minorBidi" w:hAnsiTheme="minorBidi"/>
          <w:sz w:val="32"/>
          <w:szCs w:val="32"/>
          <w:rtl/>
        </w:rPr>
        <w:t xml:space="preserve"> يتبين بما يدع مجالا للشك أنها تدخل ضمن طائفة النصوص الدستورية التي لا تنفذ بذاتها لأنه قد خول هيئة النيابة </w:t>
      </w:r>
      <w:r>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سلطة توقيع الجزاءات التأديبية عن المخالفات المالية </w:t>
      </w:r>
      <w:r>
        <w:rPr>
          <w:rStyle w:val="uficommentbody"/>
          <w:rFonts w:asciiTheme="minorBidi" w:hAnsiTheme="minorBidi" w:hint="cs"/>
          <w:sz w:val="32"/>
          <w:szCs w:val="32"/>
          <w:rtl/>
        </w:rPr>
        <w:t>والإدارية</w:t>
      </w:r>
      <w:r>
        <w:rPr>
          <w:rStyle w:val="uficommentbody"/>
          <w:rFonts w:asciiTheme="minorBidi" w:hAnsiTheme="minorBidi"/>
          <w:sz w:val="32"/>
          <w:szCs w:val="32"/>
          <w:rtl/>
        </w:rPr>
        <w:t xml:space="preserve"> وتلك التي تحال إليها وتختص بالتحقيق فيها، إلا أن النص الدستوري جعل إنفاذ تلك السلطة في توقيع الجزاءات التأديبية رهينا بصدور قانون ينظم هذا الأمر، حيث أورد المشرع الدستوري بشأنه عبارة (وذلك كله وفقا لما ينظمه القانون)</w:t>
      </w:r>
      <w:r>
        <w:rPr>
          <w:rFonts w:asciiTheme="minorBidi" w:hAnsiTheme="minorBidi"/>
          <w:sz w:val="32"/>
          <w:szCs w:val="32"/>
          <w:rtl/>
        </w:rPr>
        <w:t xml:space="preserve">.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Style w:val="uficommentbody"/>
          <w:rFonts w:asciiTheme="minorBidi" w:hAnsiTheme="minorBidi"/>
          <w:sz w:val="32"/>
          <w:szCs w:val="32"/>
          <w:rtl/>
        </w:rPr>
        <w:t xml:space="preserve">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w:t>
      </w:r>
      <w:r>
        <w:rPr>
          <w:rStyle w:val="uficommentbody"/>
          <w:rFonts w:asciiTheme="minorBidi" w:hAnsiTheme="minorBidi" w:hint="cs"/>
          <w:sz w:val="32"/>
          <w:szCs w:val="32"/>
          <w:rtl/>
        </w:rPr>
        <w:t>أحكامه</w:t>
      </w:r>
      <w:r>
        <w:rPr>
          <w:rStyle w:val="uficommentbody"/>
          <w:rFonts w:asciiTheme="minorBidi" w:hAnsiTheme="minorBidi"/>
          <w:sz w:val="32"/>
          <w:szCs w:val="32"/>
          <w:rtl/>
        </w:rPr>
        <w:t xml:space="preserve">،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w:t>
      </w:r>
      <w:r>
        <w:rPr>
          <w:rStyle w:val="uficommentbody"/>
          <w:rFonts w:asciiTheme="minorBidi" w:hAnsiTheme="minorBidi" w:hint="cs"/>
          <w:sz w:val="32"/>
          <w:szCs w:val="32"/>
          <w:rtl/>
        </w:rPr>
        <w:t>وإذ</w:t>
      </w:r>
      <w:r>
        <w:rPr>
          <w:rStyle w:val="uficommentbody"/>
          <w:rFonts w:asciiTheme="minorBidi" w:hAnsiTheme="minorBidi"/>
          <w:sz w:val="32"/>
          <w:szCs w:val="32"/>
          <w:rtl/>
        </w:rPr>
        <w:t xml:space="preserve">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w:t>
      </w:r>
      <w:r>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من قريب أو بعيد، وذلك لحين صدور التشريع المنفذ  لحكم المادة (197) من الدستور،</w:t>
      </w:r>
      <w:r>
        <w:rPr>
          <w:rFonts w:asciiTheme="minorBidi" w:hAnsiTheme="minorBidi"/>
          <w:sz w:val="32"/>
          <w:szCs w:val="32"/>
          <w:rtl/>
        </w:rPr>
        <w:t xml:space="preserve"> </w:t>
      </w:r>
      <w:r>
        <w:rPr>
          <w:rStyle w:val="uficommentbody"/>
          <w:rFonts w:asciiTheme="minorBidi" w:hAnsiTheme="minorBidi"/>
          <w:sz w:val="32"/>
          <w:szCs w:val="32"/>
          <w:rtl/>
        </w:rPr>
        <w:t>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w:t>
      </w:r>
      <w:r>
        <w:rPr>
          <w:rFonts w:asciiTheme="minorBidi" w:hAnsiTheme="minorBidi"/>
          <w:sz w:val="32"/>
          <w:szCs w:val="32"/>
          <w:rtl/>
        </w:rPr>
        <w:t xml:space="preserve"> </w:t>
      </w:r>
      <w:r>
        <w:rPr>
          <w:rStyle w:val="uficommentbody"/>
          <w:rFonts w:asciiTheme="minorBidi" w:hAnsiTheme="minorBidi"/>
          <w:sz w:val="32"/>
          <w:szCs w:val="32"/>
          <w:rtl/>
        </w:rPr>
        <w:t xml:space="preserve">ولا يغير من هذه النتيجة ما نصت عليه المادة (60) من قانون الخدمة المدنية الصادر بالقانون رقم 81 لسنة 2016 من اختصاص النيابة الادارية دون غيرها بالتحقيق مع شاغلي وظائف الإدارة العليا وكذا التحقيق في المخالفات المالية التي يترتب عليها ضياع حق من </w:t>
      </w:r>
      <w:r>
        <w:rPr>
          <w:rStyle w:val="uficommentbody"/>
          <w:rFonts w:asciiTheme="minorBidi" w:hAnsiTheme="minorBidi"/>
          <w:sz w:val="32"/>
          <w:szCs w:val="32"/>
          <w:rtl/>
        </w:rPr>
        <w:lastRenderedPageBreak/>
        <w:t xml:space="preserve">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w:t>
      </w:r>
      <w:r w:rsidR="007254DB">
        <w:rPr>
          <w:rStyle w:val="uficommentbody"/>
          <w:rFonts w:asciiTheme="minorBidi" w:hAnsiTheme="minorBidi" w:hint="cs"/>
          <w:sz w:val="32"/>
          <w:szCs w:val="32"/>
          <w:rtl/>
        </w:rPr>
        <w:t>الإدارية</w:t>
      </w:r>
      <w:r>
        <w:rPr>
          <w:rStyle w:val="uficommentbody"/>
          <w:rFonts w:asciiTheme="minorBidi" w:hAnsiTheme="minorBidi"/>
          <w:sz w:val="32"/>
          <w:szCs w:val="32"/>
          <w:rtl/>
        </w:rPr>
        <w:t xml:space="preserve"> العليا - دائرة فحص الطعون - الدائرة الرابعة في الطعن رقم 5893 لسنة 63 ق. ع بجلسة 21/4/ 2018</w:t>
      </w:r>
      <w:r>
        <w:rPr>
          <w:rFonts w:asciiTheme="minorBidi" w:hAnsiTheme="minorBidi"/>
          <w:sz w:val="32"/>
          <w:szCs w:val="32"/>
          <w:rtl/>
        </w:rPr>
        <w:t>).</w:t>
      </w:r>
    </w:p>
    <w:p w:rsidR="00EB485D" w:rsidRDefault="00EB485D" w:rsidP="00E87DDE">
      <w:pPr>
        <w:pStyle w:val="ab"/>
        <w:bidi/>
        <w:spacing w:after="240" w:afterAutospacing="0" w:line="276" w:lineRule="auto"/>
        <w:ind w:left="-58" w:firstLine="601"/>
        <w:jc w:val="both"/>
        <w:rPr>
          <w:rFonts w:asciiTheme="minorBidi" w:hAnsiTheme="minorBidi" w:cstheme="minorBidi"/>
          <w:sz w:val="32"/>
          <w:szCs w:val="32"/>
          <w:rtl/>
        </w:rPr>
      </w:pPr>
      <w:r>
        <w:rPr>
          <w:rFonts w:asciiTheme="minorBidi" w:hAnsiTheme="minorBidi" w:cstheme="minorBidi"/>
          <w:sz w:val="32"/>
          <w:szCs w:val="32"/>
          <w:shd w:val="clear" w:color="auto" w:fill="FFFFFF"/>
          <w:rtl/>
        </w:rPr>
        <w:t xml:space="preserve">وفي ذات المبدأ الذي أرسته المحكمة الإدارية العليا، ذهبت الجمعية العمومية لقسمي الفتوي والتشريع بمجلس الدولة إلى ذات النهج وأفتت بأن </w:t>
      </w:r>
      <w:r>
        <w:rPr>
          <w:rFonts w:asciiTheme="minorBidi" w:hAnsiTheme="minorBidi" w:cstheme="minorBidi"/>
          <w:sz w:val="32"/>
          <w:szCs w:val="32"/>
          <w:rtl/>
        </w:rPr>
        <w:t>الدستور الحالي تناول في الفصل الثالث من الباب الخامس منه تنظيم السلطة القضائية، واختص كلاًّ من هيئة قضايا الدولة، وهيئة النيابة الإدارية بفصل مستقل. تضمنت المادة (197) منه النص على أن النيابة الإدارية هيئة قضائية مستقلة، كما تضمنت تحديد الاختصاصات المعقودة لها ومنها الاختصاص بالتحقيق في المخالفات الإدارية والمالية، والتحقيق في المخالفات التي تحال إليها من جهة الإدارة ويكون لها بالنسبة إلى هذه المخالفات السلطات المقررة 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ناطها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غصب لسلطة المشرع، فلا يُنتج أثرًا، ولا يصح البتة اتخاذه وحده ركيزة لممارسة هيئة النيابة الإدارية السلطات المقررة للجهة الإدارية في توقيع الجزاءات التأديبية.   وثانيهما:</w:t>
      </w:r>
      <w:r>
        <w:rPr>
          <w:rFonts w:asciiTheme="minorBidi" w:hAnsiTheme="minorBidi" w:cstheme="minorBidi"/>
          <w:sz w:val="32"/>
          <w:szCs w:val="32"/>
        </w:rPr>
        <w:t xml:space="preserve"> </w:t>
      </w:r>
      <w:r>
        <w:rPr>
          <w:rFonts w:asciiTheme="minorBidi" w:hAnsiTheme="minorBidi" w:cstheme="minorBidi"/>
          <w:sz w:val="32"/>
          <w:szCs w:val="32"/>
          <w:rtl/>
        </w:rPr>
        <w:t>أن الدستور في المادة (197) المشار إليها مايز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Pr>
          <w:rFonts w:asciiTheme="minorBidi" w:hAnsiTheme="minorBidi" w:cstheme="minorBidi"/>
          <w:sz w:val="32"/>
          <w:szCs w:val="32"/>
        </w:rPr>
        <w:t xml:space="preserve"> </w:t>
      </w:r>
      <w:r>
        <w:rPr>
          <w:rFonts w:asciiTheme="minorBidi" w:hAnsiTheme="minorBidi" w:cstheme="minorBidi"/>
          <w:sz w:val="32"/>
          <w:szCs w:val="32"/>
          <w:rtl/>
        </w:rPr>
        <w:t xml:space="preserve">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w:t>
      </w:r>
      <w:r>
        <w:rPr>
          <w:rFonts w:asciiTheme="minorBidi" w:hAnsiTheme="minorBidi" w:cstheme="minorBidi"/>
          <w:sz w:val="32"/>
          <w:szCs w:val="32"/>
          <w:rtl/>
        </w:rPr>
        <w:lastRenderedPageBreak/>
        <w:t>ينص القانون على خلاف ذلك - في حدود ما يسمح به الدستور - وحال وجود هذا النص يتعين الالتزام به، دون قياس عليه، أو توسع في تفسيره</w:t>
      </w:r>
      <w:r>
        <w:rPr>
          <w:rFonts w:asciiTheme="minorBidi" w:hAnsiTheme="minorBidi" w:cstheme="minorBidi"/>
          <w:sz w:val="32"/>
          <w:szCs w:val="32"/>
        </w:rPr>
        <w:t>.</w:t>
      </w:r>
      <w:r>
        <w:rPr>
          <w:rFonts w:asciiTheme="minorBidi" w:hAnsiTheme="minorBidi" w:cstheme="minorBidi"/>
          <w:sz w:val="32"/>
          <w:szCs w:val="32"/>
          <w:rtl/>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Pr>
          <w:rFonts w:asciiTheme="minorBidi" w:hAnsiTheme="minorBidi" w:cstheme="minorBidi"/>
          <w:sz w:val="32"/>
          <w:szCs w:val="32"/>
        </w:rPr>
        <w:t xml:space="preserve"> </w:t>
      </w:r>
      <w:r>
        <w:rPr>
          <w:rFonts w:asciiTheme="minorBidi" w:hAnsiTheme="minorBidi" w:cstheme="minorBidi"/>
          <w:sz w:val="32"/>
          <w:szCs w:val="32"/>
          <w:rtl/>
        </w:rPr>
        <w:t>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لا اختصاص لها من حيث الأصل بتوقيع أي جزاءات تأديبية على هؤلاء الموظفين في المخالفات التي تقدر الجهات 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ملف رقم 473/1/58 جلسة 23 – 5 – 2018).</w:t>
      </w:r>
    </w:p>
    <w:p w:rsidR="00EB485D" w:rsidRDefault="00EB485D" w:rsidP="00E87DDE">
      <w:pPr>
        <w:tabs>
          <w:tab w:val="left" w:pos="10432"/>
        </w:tabs>
        <w:bidi/>
        <w:spacing w:after="240" w:line="276" w:lineRule="auto"/>
        <w:ind w:left="-58" w:firstLine="601"/>
        <w:jc w:val="both"/>
        <w:rPr>
          <w:rFonts w:asciiTheme="minorBidi" w:hAnsiTheme="minorBidi" w:cstheme="minorBidi"/>
          <w:sz w:val="32"/>
          <w:szCs w:val="32"/>
          <w:shd w:val="clear" w:color="auto" w:fill="FFFFFF"/>
          <w:rtl/>
        </w:rPr>
      </w:pPr>
      <w:r>
        <w:rPr>
          <w:rFonts w:asciiTheme="minorBidi" w:hAnsiTheme="minorBidi"/>
          <w:sz w:val="32"/>
          <w:szCs w:val="32"/>
          <w:shd w:val="clear" w:color="auto" w:fill="FFFFFF"/>
          <w:rtl/>
        </w:rPr>
        <w:t>وترتيبا علي ما تقدم ، ومن حيث 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ناطها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الصلاحيتين سالفتي الذكر للقانون، فنص في إفصاح جهير في نهاية الفقرة الأولى من المادة (197) سالفة الذكر على عبارة (وذلك كله وفقا لما ينظمه القانون).</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ومؤدى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على نحو يضع القواعد ويعين الشروط والضوابط ويرسم الضمانات التي يجب مراعاتها والتقيد بها عند ممارسة هذه السلطة بما تنضبط به المساءلة التأديبية على نحو تستقيم به المرافق العامة على سنن القانون فتؤدي الدور المنوط بها وتحقق الأهداف التي أنشئت من أجلها.</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فإذا ما باشرت النيابة الإدارية هذه السلطة على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إلى درك الانعدام.</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المختصة في توقيع الجزاء والحفظ) فإن هذه العبارة لا تزيد على أن تكون جزءا من النص الدستوري لم تضف إليه شيئا ولم تضع له يسير بيان أو قليل تفصيل، وعلى ذلك فإن المشرع يكون حتى الآن قد جنح إلى السكون عن التنظيم القانوني لمسألة اختصاص النيابة الإدارية بتوقيع الجزاءات التأديبية.</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ويغدو متعيناً أن تذكر المحكمة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w:t>
      </w:r>
      <w:r>
        <w:rPr>
          <w:rFonts w:asciiTheme="minorBidi" w:hAnsiTheme="minorBidi"/>
          <w:sz w:val="32"/>
          <w:szCs w:val="32"/>
          <w:shd w:val="clear" w:color="auto" w:fill="FFFFFF"/>
          <w:rtl/>
        </w:rPr>
        <w:lastRenderedPageBreak/>
        <w:t>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ولعل من نافلة القول التأكيد على أن قرار رئيس هيئة النيابة الإدارية رقم 429 لسنة 2015 ،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w:t>
      </w:r>
      <w:r w:rsidR="00E71A09">
        <w:rPr>
          <w:rFonts w:asciiTheme="minorBidi" w:hAnsiTheme="minorBidi" w:hint="cs"/>
          <w:sz w:val="32"/>
          <w:szCs w:val="32"/>
          <w:shd w:val="clear" w:color="auto" w:fill="FFFFFF"/>
          <w:rtl/>
        </w:rPr>
        <w:t>أنشأها</w:t>
      </w:r>
      <w:r>
        <w:rPr>
          <w:rFonts w:asciiTheme="minorBidi" w:hAnsiTheme="minorBidi"/>
          <w:sz w:val="32"/>
          <w:szCs w:val="32"/>
          <w:shd w:val="clear" w:color="auto" w:fill="FFFFFF"/>
          <w:rtl/>
        </w:rPr>
        <w:t xml:space="preserve"> ثم أنشأ لجاناً لفحص التظلمات من تلك القرارات والبت فيها، وهي مسائل يستقل بها القانون، ولا شأن لقرار يصدر من رئيس الهيئة بها، فهذين القرارين لا يعدا ــــــ بطبيعة الحال ــــــ قانونا صادرا من السلطة التشريعية، كما أنهما لا يرقيان إلى مرتبة اللائحة التنفيذية للقانون، وعلى ذلك فإنه ليس لهما من أثر قانوني، ولا يعتد بهما في هذا الشأن وفقاً لما ساقته وأيدته المحكمة الإدارية العليا وفتوى الجمعية العمومية سالفي الذكر.</w:t>
      </w:r>
    </w:p>
    <w:p w:rsidR="00EB485D" w:rsidRDefault="00EB485D" w:rsidP="00E87DDE">
      <w:pPr>
        <w:pStyle w:val="aa"/>
        <w:spacing w:after="240" w:line="276" w:lineRule="auto"/>
        <w:ind w:left="-58" w:firstLine="601"/>
        <w:jc w:val="both"/>
        <w:rPr>
          <w:rFonts w:asciiTheme="minorBidi" w:hAnsiTheme="minorBidi"/>
          <w:sz w:val="32"/>
          <w:szCs w:val="32"/>
          <w:shd w:val="clear" w:color="auto" w:fill="FFFFFF"/>
          <w:rtl/>
        </w:rPr>
      </w:pPr>
      <w:r>
        <w:rPr>
          <w:rFonts w:asciiTheme="minorBidi" w:hAnsiTheme="minorBidi"/>
          <w:b/>
          <w:bCs/>
          <w:sz w:val="32"/>
          <w:szCs w:val="32"/>
          <w:shd w:val="clear" w:color="auto" w:fill="FFFFFF"/>
          <w:rtl/>
        </w:rPr>
        <w:t>وبناء على ما تقدم،</w:t>
      </w:r>
      <w:r>
        <w:rPr>
          <w:rFonts w:asciiTheme="minorBidi" w:hAnsiTheme="minorBidi"/>
          <w:sz w:val="32"/>
          <w:szCs w:val="32"/>
          <w:shd w:val="clear" w:color="auto" w:fill="FFFFFF"/>
          <w:rtl/>
        </w:rPr>
        <w:t xml:space="preserve"> ولما كان الثابت بالأوراق أن الطاعنة</w:t>
      </w:r>
      <w:r>
        <w:rPr>
          <w:rFonts w:asciiTheme="minorBidi" w:hAnsiTheme="minorBidi"/>
          <w:sz w:val="32"/>
          <w:szCs w:val="32"/>
          <w:rtl/>
        </w:rPr>
        <w:t xml:space="preserve"> تشغل وظيفة مدير عام الادارة العامة لدراسات الأعمال المساحية والمدنية بهيئة تنفيذ مشروعات المحطات المائية لتوليد الكهرباء، </w:t>
      </w:r>
      <w:r>
        <w:rPr>
          <w:rFonts w:asciiTheme="minorBidi" w:hAnsiTheme="minorBidi"/>
          <w:sz w:val="32"/>
          <w:szCs w:val="32"/>
          <w:shd w:val="clear" w:color="auto" w:fill="FFFFFF"/>
          <w:rtl/>
        </w:rPr>
        <w:t>وقد صدر بحقها قرار لجنة التأديب التابعة لهيئة النيابة الإدارية</w:t>
      </w:r>
      <w:r>
        <w:rPr>
          <w:rFonts w:asciiTheme="minorBidi" w:hAnsiTheme="minorBidi"/>
          <w:sz w:val="32"/>
          <w:szCs w:val="32"/>
          <w:rtl/>
        </w:rPr>
        <w:t xml:space="preserve"> رقم (75) لسنة 2020 بتاريخ 11/10/2020, وكذا قرار لجنة التظلمات رقم (6) لسنة 2021 بمجازاتها بعقوبة التنبيه، وبتاريخ 9/12/2021 أصدر الرئيس التنفيذي للهيئة المذكورة الأمر التنفيذي رقم (81) لسنة 2021 بمجازاة الطاعنة بعقوبة التنبيه </w:t>
      </w:r>
      <w:r>
        <w:rPr>
          <w:rFonts w:asciiTheme="minorBidi" w:hAnsiTheme="minorBidi"/>
          <w:sz w:val="32"/>
          <w:szCs w:val="32"/>
          <w:shd w:val="clear" w:color="auto" w:fill="FFFFFF"/>
          <w:rtl/>
        </w:rPr>
        <w:t>، لما نسب إليها بقضية النيابة الإدارية رقم 81 لسنة 2020.</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هذا، ولما كانت المادة (197) من الدستور ـــــــ وفقاً لما سبق ذكره ـــــــ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رهيناً بصدور قانون ينظم هذا الأمر، وحيث إنه لم يصدر بعد تشريع يحدد وينظم اختصاص النيابة الإدارية بتوقيع الجزاءات التأديبية، ومن ثم فإن القرار المطعون فيه الصادر من لجنة التأديب المذكورة التابعة لهيئة النيابة الإدارية، يكون قد تعدى حدود النص الدستوري وتجاوز قيوده، إذ صدر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المشروعية الدستورية، معيبا بعيب عدم الاختصاص الجسيم، الأمر الذي يفقده كيانه ويجرده من صفاته، ويزيل عنه مقوماته كتصرف قانوني، وينحدر به إلى درك الانعدام، ويكون قرار الجهة الإدارية الصادر تنفيذاً له منعدماً هو الآخر، الأمر الذي لا مناص معه من الحكم </w:t>
      </w:r>
      <w:r>
        <w:rPr>
          <w:rFonts w:asciiTheme="minorBidi" w:hAnsiTheme="minorBidi"/>
          <w:sz w:val="32"/>
          <w:szCs w:val="32"/>
          <w:rtl/>
        </w:rPr>
        <w:t>ببطلان قرار لجنة تأديب النيابة الإدارية المطعون عليه، وإلغاء أية قرارات تنفيذية صدرت تنفيذاً له</w:t>
      </w:r>
      <w:r>
        <w:rPr>
          <w:rFonts w:asciiTheme="minorBidi" w:hAnsiTheme="minorBidi"/>
          <w:sz w:val="32"/>
          <w:szCs w:val="32"/>
          <w:shd w:val="clear" w:color="auto" w:fill="FFFFFF"/>
          <w:rtl/>
        </w:rPr>
        <w:t>، وبصرف النظر عما ارتكبه الطاعن من مخالفات.</w:t>
      </w:r>
    </w:p>
    <w:p w:rsidR="00EB485D" w:rsidRDefault="00EB485D" w:rsidP="00E87DDE">
      <w:pPr>
        <w:tabs>
          <w:tab w:val="left" w:pos="10432"/>
        </w:tabs>
        <w:bidi/>
        <w:spacing w:after="240" w:line="276" w:lineRule="auto"/>
        <w:ind w:left="-58" w:firstLine="601"/>
        <w:jc w:val="both"/>
        <w:rPr>
          <w:rFonts w:asciiTheme="minorBidi" w:hAnsiTheme="minorBidi"/>
          <w:sz w:val="32"/>
          <w:szCs w:val="32"/>
          <w:rtl/>
        </w:rPr>
      </w:pPr>
      <w:r>
        <w:rPr>
          <w:rFonts w:asciiTheme="minorBidi" w:hAnsiTheme="minorBidi"/>
          <w:sz w:val="32"/>
          <w:szCs w:val="32"/>
          <w:shd w:val="clear" w:color="auto" w:fill="FFFFFF"/>
          <w:rtl/>
        </w:rPr>
        <w:t>من حيث إنه عن شكل الطعن، فإن المستقر عليه في قضاء المحكمة الإدارية العليا أن القرار المنعدم لا يتحصن بفوات ميعاد الطعن عليه، ولا يتقيد بالميعاد المقرر لرفع دعوى الإلغاء المنصوص عليه في قانون مجلس الدولة الصادر بالقانون رقم 47 لسنة 1972</w:t>
      </w:r>
      <w:r>
        <w:rPr>
          <w:rFonts w:asciiTheme="minorBidi" w:hAnsiTheme="minorBidi"/>
          <w:sz w:val="32"/>
          <w:szCs w:val="32"/>
          <w:shd w:val="clear" w:color="auto" w:fill="FFFFFF"/>
          <w:rtl/>
          <w:lang w:bidi="ar-EG"/>
        </w:rPr>
        <w:t xml:space="preserve">، </w:t>
      </w:r>
      <w:r>
        <w:rPr>
          <w:rFonts w:asciiTheme="minorBidi" w:hAnsiTheme="minorBidi"/>
          <w:sz w:val="32"/>
          <w:szCs w:val="32"/>
          <w:shd w:val="clear" w:color="auto" w:fill="FFFFFF"/>
          <w:rtl/>
        </w:rPr>
        <w:t xml:space="preserve">ولا يشترط التظلم منه أو اللجوء إلى لجنة </w:t>
      </w:r>
      <w:r>
        <w:rPr>
          <w:rFonts w:asciiTheme="minorBidi" w:hAnsiTheme="minorBidi"/>
          <w:sz w:val="32"/>
          <w:szCs w:val="32"/>
          <w:shd w:val="clear" w:color="auto" w:fill="FFFFFF"/>
          <w:rtl/>
        </w:rPr>
        <w:lastRenderedPageBreak/>
        <w:t xml:space="preserve">التوفيق في بعض المنازعات بشأنه قبل ولوج سبيل التقاضي، </w:t>
      </w:r>
      <w:r>
        <w:rPr>
          <w:rFonts w:asciiTheme="minorBidi" w:hAnsiTheme="minorBidi"/>
          <w:sz w:val="32"/>
          <w:szCs w:val="32"/>
          <w:rtl/>
        </w:rPr>
        <w:t>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EB485D" w:rsidRDefault="00EB485D" w:rsidP="00E87DDE">
      <w:pPr>
        <w:tabs>
          <w:tab w:val="left" w:pos="10432"/>
        </w:tabs>
        <w:bidi/>
        <w:spacing w:after="240" w:line="276" w:lineRule="auto"/>
        <w:ind w:left="-58" w:firstLine="601"/>
        <w:jc w:val="both"/>
        <w:rPr>
          <w:rFonts w:asciiTheme="minorBidi" w:hAnsiTheme="minorBidi"/>
          <w:sz w:val="32"/>
          <w:szCs w:val="32"/>
          <w:shd w:val="clear" w:color="auto" w:fill="FFFFFF"/>
          <w:rtl/>
        </w:rPr>
      </w:pPr>
      <w:r>
        <w:rPr>
          <w:rFonts w:asciiTheme="minorBidi" w:hAnsiTheme="minorBidi"/>
          <w:sz w:val="32"/>
          <w:szCs w:val="32"/>
          <w:rtl/>
        </w:rPr>
        <w:t>ومن حيث أنه من يخسر الدعوي يلزم بمصروفاتها عملا بنص المادة 184 مرافعات.</w:t>
      </w:r>
    </w:p>
    <w:p w:rsidR="00EB485D" w:rsidRDefault="00EB485D" w:rsidP="00E87DDE">
      <w:pPr>
        <w:bidi/>
        <w:spacing w:after="240" w:line="276" w:lineRule="auto"/>
        <w:ind w:left="-58" w:firstLine="601"/>
        <w:jc w:val="center"/>
        <w:rPr>
          <w:rFonts w:asciiTheme="minorBidi" w:hAnsiTheme="minorBidi"/>
          <w:b/>
          <w:bCs/>
          <w:sz w:val="32"/>
          <w:szCs w:val="32"/>
          <w:u w:val="single"/>
          <w:rtl/>
        </w:rPr>
      </w:pPr>
      <w:r>
        <w:rPr>
          <w:rFonts w:asciiTheme="minorBidi" w:hAnsiTheme="minorBidi"/>
          <w:b/>
          <w:bCs/>
          <w:sz w:val="32"/>
          <w:szCs w:val="32"/>
          <w:u w:val="single"/>
          <w:rtl/>
        </w:rPr>
        <w:t>فلهذه الأسباب</w:t>
      </w:r>
    </w:p>
    <w:p w:rsidR="00EB485D" w:rsidRDefault="00EB485D" w:rsidP="00E87DDE">
      <w:pPr>
        <w:pStyle w:val="aa"/>
        <w:spacing w:after="240" w:line="276" w:lineRule="auto"/>
        <w:ind w:left="-58" w:firstLine="601"/>
        <w:jc w:val="both"/>
        <w:rPr>
          <w:rFonts w:asciiTheme="minorBidi" w:hAnsiTheme="minorBidi"/>
          <w:sz w:val="32"/>
          <w:szCs w:val="32"/>
          <w:u w:val="single"/>
          <w:rtl/>
        </w:rPr>
      </w:pPr>
      <w:bookmarkStart w:id="0" w:name="_Hlk58787896"/>
      <w:r>
        <w:rPr>
          <w:rFonts w:asciiTheme="minorBidi" w:hAnsiTheme="minorBidi"/>
          <w:b/>
          <w:bCs/>
          <w:sz w:val="32"/>
          <w:szCs w:val="32"/>
          <w:rtl/>
        </w:rPr>
        <w:t xml:space="preserve">حكمت المحكمة: </w:t>
      </w:r>
      <w:bookmarkEnd w:id="0"/>
      <w:r>
        <w:rPr>
          <w:rFonts w:asciiTheme="minorBidi" w:hAnsiTheme="minorBidi"/>
          <w:sz w:val="32"/>
          <w:szCs w:val="32"/>
          <w:rtl/>
        </w:rPr>
        <w:t xml:space="preserve">بقبول الطعن شكلاً, وفى الموضوع ببطلان قرار لجنة التأديب بالنيابة </w:t>
      </w:r>
      <w:r>
        <w:rPr>
          <w:rFonts w:asciiTheme="minorBidi" w:hAnsiTheme="minorBidi" w:hint="cs"/>
          <w:sz w:val="32"/>
          <w:szCs w:val="32"/>
          <w:rtl/>
        </w:rPr>
        <w:t>الإدارية</w:t>
      </w:r>
      <w:r>
        <w:rPr>
          <w:rFonts w:asciiTheme="minorBidi" w:hAnsiTheme="minorBidi"/>
          <w:sz w:val="32"/>
          <w:szCs w:val="32"/>
          <w:rtl/>
        </w:rPr>
        <w:t xml:space="preserve"> رقم (75) لسنة 2020 الصادر بتاريخ 11/10/2020, وقرار لجنة التظلمات رقم (6) لسنة 2021, فيما تضمناه من مجازاتها بعقوبة التنبيه،</w:t>
      </w:r>
      <w:r w:rsidR="00E87DDE">
        <w:rPr>
          <w:rFonts w:asciiTheme="minorBidi" w:hAnsiTheme="minorBidi" w:hint="cs"/>
          <w:sz w:val="32"/>
          <w:szCs w:val="32"/>
          <w:rtl/>
        </w:rPr>
        <w:t xml:space="preserve"> </w:t>
      </w:r>
      <w:r>
        <w:rPr>
          <w:rFonts w:asciiTheme="minorBidi" w:hAnsiTheme="minorBidi"/>
          <w:sz w:val="32"/>
          <w:szCs w:val="32"/>
          <w:rtl/>
        </w:rPr>
        <w:t>وببطلان الأمر التنفيذي لجهة الإدارة رقم (81) لسنة 2021 الصادر تنفيذا لهما بتاريخ 9/12/2021، مع ما يترتب على ذلك من آثار, وذلك على النحو المبين بالأسباب,</w:t>
      </w:r>
      <w:r w:rsidR="00E71A09">
        <w:rPr>
          <w:rFonts w:asciiTheme="minorBidi" w:hAnsiTheme="minorBidi" w:hint="cs"/>
          <w:sz w:val="32"/>
          <w:szCs w:val="32"/>
          <w:rtl/>
        </w:rPr>
        <w:t xml:space="preserve"> </w:t>
      </w:r>
      <w:r>
        <w:rPr>
          <w:rFonts w:asciiTheme="minorBidi" w:hAnsiTheme="minorBidi" w:hint="cs"/>
          <w:sz w:val="32"/>
          <w:szCs w:val="32"/>
          <w:rtl/>
        </w:rPr>
        <w:t>وإلزام</w:t>
      </w:r>
      <w:r>
        <w:rPr>
          <w:rFonts w:asciiTheme="minorBidi" w:hAnsiTheme="minorBidi"/>
          <w:sz w:val="32"/>
          <w:szCs w:val="32"/>
          <w:rtl/>
        </w:rPr>
        <w:t xml:space="preserve"> جهة </w:t>
      </w:r>
      <w:r>
        <w:rPr>
          <w:rFonts w:asciiTheme="minorBidi" w:hAnsiTheme="minorBidi" w:hint="cs"/>
          <w:sz w:val="32"/>
          <w:szCs w:val="32"/>
          <w:rtl/>
        </w:rPr>
        <w:t>الإدارة</w:t>
      </w:r>
      <w:r>
        <w:rPr>
          <w:rFonts w:asciiTheme="minorBidi" w:hAnsiTheme="minorBidi"/>
          <w:sz w:val="32"/>
          <w:szCs w:val="32"/>
          <w:rtl/>
        </w:rPr>
        <w:t xml:space="preserve"> المصروفات.</w:t>
      </w:r>
    </w:p>
    <w:p w:rsidR="006C44F1" w:rsidRDefault="003D5339" w:rsidP="003E778F">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643" w:rsidRDefault="002A4643">
      <w:r>
        <w:separator/>
      </w:r>
    </w:p>
  </w:endnote>
  <w:endnote w:type="continuationSeparator" w:id="1">
    <w:p w:rsidR="002A4643" w:rsidRDefault="002A4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578A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578A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254DB">
      <w:rPr>
        <w:rStyle w:val="a5"/>
        <w:noProof/>
      </w:rPr>
      <w:t>11</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643" w:rsidRDefault="002A4643">
      <w:r>
        <w:separator/>
      </w:r>
    </w:p>
  </w:footnote>
  <w:footnote w:type="continuationSeparator" w:id="1">
    <w:p w:rsidR="002A4643" w:rsidRDefault="002A4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E778F">
          <w:rPr>
            <w:rFonts w:hint="cs"/>
            <w:sz w:val="28"/>
            <w:szCs w:val="28"/>
            <w:u w:val="single"/>
            <w:rtl/>
            <w:lang w:bidi="ar-EG"/>
          </w:rPr>
          <w:t>في الطعن رقم 71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8FB1086"/>
    <w:multiLevelType w:val="hybridMultilevel"/>
    <w:tmpl w:val="B112905C"/>
    <w:lvl w:ilvl="0" w:tplc="B4720C56">
      <w:start w:val="1"/>
      <w:numFmt w:val="decimal"/>
      <w:lvlText w:val="%1."/>
      <w:lvlJc w:val="left"/>
      <w:pPr>
        <w:ind w:left="87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20"/>
  </w:num>
  <w:num w:numId="8">
    <w:abstractNumId w:val="14"/>
  </w:num>
  <w:num w:numId="9">
    <w:abstractNumId w:val="7"/>
  </w:num>
  <w:num w:numId="10">
    <w:abstractNumId w:val="9"/>
  </w:num>
  <w:num w:numId="11">
    <w:abstractNumId w:val="5"/>
  </w:num>
  <w:num w:numId="12">
    <w:abstractNumId w:val="23"/>
  </w:num>
  <w:num w:numId="13">
    <w:abstractNumId w:val="24"/>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7"/>
  </w:num>
  <w:num w:numId="22">
    <w:abstractNumId w:val="15"/>
  </w:num>
  <w:num w:numId="23">
    <w:abstractNumId w:val="32"/>
  </w:num>
  <w:num w:numId="24">
    <w:abstractNumId w:val="33"/>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643"/>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8A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442"/>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78F"/>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1EFD"/>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4DB"/>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3A0"/>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132"/>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A09"/>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DDE"/>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485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EB485D"/>
    <w:rPr>
      <w:sz w:val="24"/>
      <w:szCs w:val="24"/>
      <w:lang w:eastAsia="ar-SA"/>
    </w:rPr>
  </w:style>
  <w:style w:type="character" w:customStyle="1" w:styleId="uficommentbody">
    <w:name w:val="uficommentbody"/>
    <w:rsid w:val="00EB485D"/>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0544470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2C6E49"/>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41D8E"/>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4128</Words>
  <Characters>23530</Characters>
  <Application>Microsoft Office Word</Application>
  <DocSecurity>0</DocSecurity>
  <Lines>196</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2020-04-20T19:29:00Z</dcterms:modified>
  <cp:contentStatus>في الطعن رقم 71 لسنة 56 ق.</cp:contentStatus>
</cp:coreProperties>
</file>