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2DB3"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5CB2FBD3"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5973B8A6"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477FA0D4"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0649CDC5"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5867AF7E"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1CC46611"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358C663B"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63AA6EB" w14:textId="43243D41" w:rsidR="007E2209" w:rsidRPr="0073745E" w:rsidRDefault="00052EE8"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3227C21"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0D00FA5F"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991D611" w14:textId="77777777" w:rsidR="00827A4B" w:rsidRDefault="00817A09" w:rsidP="00436E5B">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436E5B">
            <w:rPr>
              <w:rFonts w:ascii="Arial" w:hAnsi="Arial" w:cs="Arial" w:hint="cs"/>
              <w:sz w:val="32"/>
              <w:szCs w:val="32"/>
              <w:rtl/>
            </w:rPr>
            <w:t>118</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436E5B">
            <w:rPr>
              <w:rFonts w:ascii="Arial" w:hAnsi="Arial" w:cs="Arial" w:hint="cs"/>
              <w:sz w:val="32"/>
              <w:szCs w:val="32"/>
              <w:rtl/>
            </w:rPr>
            <w:t>62</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14:paraId="6ACE35EC" w14:textId="77777777" w:rsidR="00436E5B" w:rsidRPr="00436E5B" w:rsidRDefault="00436E5B" w:rsidP="00436E5B">
      <w:pPr>
        <w:tabs>
          <w:tab w:val="center" w:pos="4256"/>
        </w:tabs>
        <w:bidi/>
        <w:jc w:val="center"/>
        <w:outlineLvl w:val="0"/>
        <w:rPr>
          <w:rFonts w:asciiTheme="minorBidi" w:hAnsiTheme="minorBidi"/>
          <w:b/>
          <w:bCs/>
          <w:sz w:val="32"/>
          <w:szCs w:val="32"/>
          <w:lang w:bidi="ar-EG"/>
        </w:rPr>
      </w:pPr>
      <w:r w:rsidRPr="00436E5B">
        <w:rPr>
          <w:rFonts w:asciiTheme="minorBidi" w:hAnsiTheme="minorBidi"/>
          <w:b/>
          <w:bCs/>
          <w:sz w:val="32"/>
          <w:szCs w:val="32"/>
          <w:rtl/>
          <w:lang w:bidi="ar-EG"/>
        </w:rPr>
        <w:t>المقامة من</w:t>
      </w:r>
    </w:p>
    <w:p w14:paraId="03F7805F" w14:textId="77777777" w:rsidR="00436E5B" w:rsidRDefault="00436E5B" w:rsidP="00436E5B">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14:paraId="490463B3" w14:textId="77777777" w:rsidR="00436E5B" w:rsidRPr="00436E5B" w:rsidRDefault="00436E5B" w:rsidP="00436E5B">
      <w:pPr>
        <w:tabs>
          <w:tab w:val="center" w:pos="4256"/>
        </w:tabs>
        <w:bidi/>
        <w:jc w:val="center"/>
        <w:outlineLvl w:val="0"/>
        <w:rPr>
          <w:rFonts w:asciiTheme="minorBidi" w:hAnsiTheme="minorBidi"/>
          <w:b/>
          <w:bCs/>
          <w:sz w:val="32"/>
          <w:szCs w:val="32"/>
          <w:rtl/>
          <w:lang w:bidi="ar-EG"/>
        </w:rPr>
      </w:pPr>
      <w:r w:rsidRPr="00436E5B">
        <w:rPr>
          <w:rFonts w:asciiTheme="minorBidi" w:hAnsiTheme="minorBidi"/>
          <w:b/>
          <w:bCs/>
          <w:sz w:val="32"/>
          <w:szCs w:val="32"/>
          <w:rtl/>
          <w:lang w:bidi="ar-EG"/>
        </w:rPr>
        <w:t>ضـد/</w:t>
      </w:r>
    </w:p>
    <w:p w14:paraId="4871A3CB" w14:textId="77777777" w:rsidR="00436E5B" w:rsidRDefault="00436E5B" w:rsidP="00436E5B">
      <w:pPr>
        <w:numPr>
          <w:ilvl w:val="0"/>
          <w:numId w:val="37"/>
        </w:numPr>
        <w:tabs>
          <w:tab w:val="center" w:pos="4256"/>
        </w:tabs>
        <w:bidi/>
        <w:contextualSpacing/>
        <w:jc w:val="center"/>
        <w:outlineLvl w:val="0"/>
        <w:rPr>
          <w:rFonts w:asciiTheme="minorBidi" w:hAnsiTheme="minorBidi"/>
          <w:sz w:val="32"/>
          <w:szCs w:val="32"/>
          <w:rtl/>
          <w:lang w:bidi="ar-EG"/>
        </w:rPr>
      </w:pPr>
      <w:r>
        <w:rPr>
          <w:rFonts w:asciiTheme="minorBidi" w:hAnsiTheme="minorBidi"/>
          <w:sz w:val="32"/>
          <w:szCs w:val="32"/>
          <w:rtl/>
          <w:lang w:bidi="ar-EG"/>
        </w:rPr>
        <w:t>عايدة حسن محمد محسب.</w:t>
      </w:r>
    </w:p>
    <w:p w14:paraId="4AA56D73" w14:textId="77777777" w:rsidR="00436E5B" w:rsidRDefault="00436E5B" w:rsidP="00436E5B">
      <w:pPr>
        <w:numPr>
          <w:ilvl w:val="0"/>
          <w:numId w:val="37"/>
        </w:numPr>
        <w:tabs>
          <w:tab w:val="center" w:pos="4256"/>
        </w:tabs>
        <w:bidi/>
        <w:ind w:left="737"/>
        <w:contextualSpacing/>
        <w:jc w:val="center"/>
        <w:outlineLvl w:val="0"/>
        <w:rPr>
          <w:rFonts w:asciiTheme="minorBidi" w:hAnsiTheme="minorBidi"/>
          <w:sz w:val="32"/>
          <w:szCs w:val="32"/>
          <w:lang w:bidi="ar-EG"/>
        </w:rPr>
      </w:pPr>
      <w:r>
        <w:rPr>
          <w:rFonts w:asciiTheme="minorBidi" w:hAnsiTheme="minorBidi"/>
          <w:sz w:val="32"/>
          <w:szCs w:val="32"/>
          <w:rtl/>
          <w:lang w:bidi="ar-EG"/>
        </w:rPr>
        <w:t>ولاء فصيح أحمد حجاج.</w:t>
      </w:r>
    </w:p>
    <w:p w14:paraId="4764B24A" w14:textId="77777777" w:rsidR="00436E5B" w:rsidRDefault="00436E5B" w:rsidP="00436E5B">
      <w:pPr>
        <w:numPr>
          <w:ilvl w:val="0"/>
          <w:numId w:val="37"/>
        </w:numPr>
        <w:tabs>
          <w:tab w:val="center" w:pos="4256"/>
        </w:tabs>
        <w:bidi/>
        <w:ind w:right="170"/>
        <w:contextualSpacing/>
        <w:jc w:val="center"/>
        <w:outlineLvl w:val="0"/>
        <w:rPr>
          <w:rFonts w:asciiTheme="minorBidi" w:hAnsiTheme="minorBidi"/>
          <w:sz w:val="32"/>
          <w:szCs w:val="32"/>
          <w:lang w:bidi="ar-EG"/>
        </w:rPr>
      </w:pPr>
      <w:r>
        <w:rPr>
          <w:rFonts w:asciiTheme="minorBidi" w:hAnsiTheme="minorBidi"/>
          <w:sz w:val="32"/>
          <w:szCs w:val="32"/>
          <w:rtl/>
          <w:lang w:bidi="ar-EG"/>
        </w:rPr>
        <w:t>غادة عبد المنعم حسن.</w:t>
      </w:r>
    </w:p>
    <w:p w14:paraId="7D188EBB" w14:textId="77777777" w:rsidR="00436E5B" w:rsidRDefault="00436E5B" w:rsidP="00436E5B">
      <w:pPr>
        <w:numPr>
          <w:ilvl w:val="0"/>
          <w:numId w:val="37"/>
        </w:numPr>
        <w:tabs>
          <w:tab w:val="center" w:pos="4256"/>
        </w:tabs>
        <w:bidi/>
        <w:ind w:right="57"/>
        <w:contextualSpacing/>
        <w:jc w:val="center"/>
        <w:outlineLvl w:val="0"/>
        <w:rPr>
          <w:rFonts w:asciiTheme="minorBidi" w:hAnsiTheme="minorBidi"/>
          <w:sz w:val="32"/>
          <w:szCs w:val="32"/>
          <w:lang w:bidi="ar-EG"/>
        </w:rPr>
      </w:pPr>
      <w:r>
        <w:rPr>
          <w:rFonts w:asciiTheme="minorBidi" w:hAnsiTheme="minorBidi"/>
          <w:sz w:val="32"/>
          <w:szCs w:val="32"/>
          <w:rtl/>
          <w:lang w:bidi="ar-EG"/>
        </w:rPr>
        <w:t>صلاح توفيق عبد اللاه.</w:t>
      </w:r>
    </w:p>
    <w:p w14:paraId="32289192" w14:textId="77777777" w:rsidR="00436E5B" w:rsidRDefault="00436E5B" w:rsidP="00436E5B">
      <w:pPr>
        <w:numPr>
          <w:ilvl w:val="0"/>
          <w:numId w:val="37"/>
        </w:numPr>
        <w:tabs>
          <w:tab w:val="center" w:pos="4256"/>
        </w:tabs>
        <w:bidi/>
        <w:ind w:right="113"/>
        <w:contextualSpacing/>
        <w:jc w:val="center"/>
        <w:outlineLvl w:val="0"/>
        <w:rPr>
          <w:rFonts w:asciiTheme="minorBidi" w:hAnsiTheme="minorBidi"/>
          <w:sz w:val="32"/>
          <w:szCs w:val="32"/>
          <w:lang w:bidi="ar-EG"/>
        </w:rPr>
      </w:pPr>
      <w:r>
        <w:rPr>
          <w:rFonts w:asciiTheme="minorBidi" w:hAnsiTheme="minorBidi"/>
          <w:sz w:val="32"/>
          <w:szCs w:val="32"/>
          <w:rtl/>
          <w:lang w:bidi="ar-EG"/>
        </w:rPr>
        <w:t>محمد أحمد احمد الغيطي.</w:t>
      </w:r>
    </w:p>
    <w:p w14:paraId="59656EC5" w14:textId="77777777" w:rsidR="00436E5B" w:rsidRDefault="00436E5B" w:rsidP="00436E5B">
      <w:pPr>
        <w:numPr>
          <w:ilvl w:val="0"/>
          <w:numId w:val="37"/>
        </w:numPr>
        <w:tabs>
          <w:tab w:val="center" w:pos="4256"/>
        </w:tabs>
        <w:bidi/>
        <w:contextualSpacing/>
        <w:jc w:val="center"/>
        <w:outlineLvl w:val="0"/>
        <w:rPr>
          <w:rFonts w:asciiTheme="minorBidi" w:hAnsiTheme="minorBidi"/>
          <w:sz w:val="32"/>
          <w:szCs w:val="32"/>
          <w:lang w:bidi="ar-EG"/>
        </w:rPr>
      </w:pPr>
      <w:r>
        <w:rPr>
          <w:rFonts w:asciiTheme="minorBidi" w:hAnsiTheme="minorBidi"/>
          <w:sz w:val="32"/>
          <w:szCs w:val="32"/>
          <w:rtl/>
          <w:lang w:bidi="ar-EG"/>
        </w:rPr>
        <w:t>محمود إسماعيل عبد اللطيف خير الله.</w:t>
      </w:r>
    </w:p>
    <w:p w14:paraId="23576884" w14:textId="77777777" w:rsidR="00436E5B" w:rsidRDefault="00436E5B" w:rsidP="00436E5B">
      <w:pPr>
        <w:tabs>
          <w:tab w:val="center" w:pos="4256"/>
        </w:tabs>
        <w:bidi/>
        <w:ind w:left="720"/>
        <w:contextualSpacing/>
        <w:outlineLvl w:val="0"/>
        <w:rPr>
          <w:rFonts w:asciiTheme="minorBidi" w:hAnsiTheme="minorBidi"/>
          <w:sz w:val="32"/>
          <w:szCs w:val="32"/>
          <w:lang w:bidi="ar-EG"/>
        </w:rPr>
      </w:pPr>
    </w:p>
    <w:p w14:paraId="6B514779" w14:textId="77777777" w:rsidR="00436E5B" w:rsidRPr="00436E5B" w:rsidRDefault="00436E5B" w:rsidP="00436E5B">
      <w:pPr>
        <w:tabs>
          <w:tab w:val="center" w:pos="4256"/>
        </w:tabs>
        <w:bidi/>
        <w:jc w:val="both"/>
        <w:outlineLvl w:val="0"/>
        <w:rPr>
          <w:rFonts w:asciiTheme="minorBidi" w:hAnsiTheme="minorBidi"/>
          <w:b/>
          <w:bCs/>
          <w:sz w:val="32"/>
          <w:szCs w:val="32"/>
          <w:rtl/>
          <w:lang w:bidi="ar-EG"/>
        </w:rPr>
      </w:pPr>
      <w:r w:rsidRPr="00436E5B">
        <w:rPr>
          <w:rFonts w:asciiTheme="minorBidi" w:hAnsiTheme="minorBidi"/>
          <w:b/>
          <w:bCs/>
          <w:sz w:val="32"/>
          <w:szCs w:val="32"/>
          <w:rtl/>
          <w:lang w:bidi="ar-EG"/>
        </w:rPr>
        <w:t>الوقـائع :</w:t>
      </w:r>
    </w:p>
    <w:p w14:paraId="282FDDA7"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أقامت النيابة الإدارية الدعوى الماثلة بإيداع أوراقها ابتداءً قلم كتاب المحكمة المحكمة التأديبية للتعليم وملحقاتها بتاريخ 11/3/2019 متضمنة ملف قضيتها رقم ٣٢٩ لسنة ٢٠١٤ نيابة إعلام وسياحة ، وتقرير اتهام ضد كلا من :-</w:t>
      </w:r>
    </w:p>
    <w:p w14:paraId="4F570A56"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عايدة حسن محمد محسب - سكرتير تحرير بمجلة الإذاعة والتليفزيون – الدرجة سكرتير تحرير .</w:t>
      </w:r>
    </w:p>
    <w:p w14:paraId="593467B2"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ولاء فصيح أحمد حجاج – محرره بذات المجلة – الدرجة محرره.</w:t>
      </w:r>
    </w:p>
    <w:p w14:paraId="4A7B0B6E"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غادة عبدالمنعم حسن – نائب رئيس تحرير بذات المجلة – الدرجة نائب رئيس تحرير.</w:t>
      </w:r>
    </w:p>
    <w:p w14:paraId="6D7246C9"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 xml:space="preserve"> صلاح توفیق عبداللاه – محرر بذات المجلة – الدرجة محرر.</w:t>
      </w:r>
    </w:p>
    <w:p w14:paraId="54128654"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 xml:space="preserve"> محمد أحمد أحمد الغيطي - نائب رئيس تحرير- الدرجة نائب رئيس تحرير. </w:t>
      </w:r>
    </w:p>
    <w:p w14:paraId="65B8215A" w14:textId="77777777" w:rsidR="00436E5B" w:rsidRDefault="00436E5B" w:rsidP="00B5199B">
      <w:pPr>
        <w:pStyle w:val="a9"/>
        <w:numPr>
          <w:ilvl w:val="0"/>
          <w:numId w:val="38"/>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محمود إسماعيل عبداللطيف خير الله - نائب رئيس تحرير المجلة – الدرجة نائب رئيس تحرير.</w:t>
      </w:r>
    </w:p>
    <w:p w14:paraId="63E4558E" w14:textId="77777777" w:rsidR="00436E5B" w:rsidRDefault="00436E5B" w:rsidP="00B5199B">
      <w:p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 xml:space="preserve">      وذلك لأنهم خلال عامي 2013/2014, بوصفهم السابق وبدائرة عملهم المنوه عنها سلفاً, لم يؤدوا العمل المنوط بهم بدقة ولم يحترموا مواعيد العمل وخرجوا على مقتضى الواجب الوظيفي, وذلك بأن:-</w:t>
      </w:r>
    </w:p>
    <w:p w14:paraId="49B31CF3" w14:textId="77777777" w:rsidR="00436E5B" w:rsidRPr="00B5199B" w:rsidRDefault="00436E5B" w:rsidP="00B5199B">
      <w:pPr>
        <w:tabs>
          <w:tab w:val="center" w:pos="4256"/>
        </w:tabs>
        <w:bidi/>
        <w:spacing w:after="240"/>
        <w:jc w:val="both"/>
        <w:outlineLvl w:val="0"/>
        <w:rPr>
          <w:rFonts w:asciiTheme="minorBidi" w:hAnsiTheme="minorBidi"/>
          <w:b/>
          <w:bCs/>
          <w:sz w:val="32"/>
          <w:szCs w:val="32"/>
          <w:rtl/>
          <w:lang w:bidi="ar-EG"/>
        </w:rPr>
      </w:pPr>
      <w:r w:rsidRPr="00B5199B">
        <w:rPr>
          <w:rFonts w:asciiTheme="minorBidi" w:hAnsiTheme="minorBidi"/>
          <w:b/>
          <w:bCs/>
          <w:sz w:val="32"/>
          <w:szCs w:val="32"/>
          <w:rtl/>
          <w:lang w:bidi="ar-EG"/>
        </w:rPr>
        <w:t xml:space="preserve">      الأول حتى الرابعة: </w:t>
      </w:r>
    </w:p>
    <w:p w14:paraId="776A737C"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انقطعوا عن العمل بالمجلة في الفترة من 1/1/2013 حتى 31/10/2014, وقد صرفت الأولى مبلغ (58445,47) جنيهاً, والثانية مبلغ (44539,27) جنيهاً, والثالثة مبلغ (95389,88) جنيهاً, والرابع مبلغ (57866,22) جنيهاً, بإجمالي مبلغ (256240,84) جنيهاً, وذلك دون وجه حق على النحو الثابت بالأوراق.</w:t>
      </w:r>
    </w:p>
    <w:p w14:paraId="49DD5AC0" w14:textId="77777777" w:rsidR="00436E5B" w:rsidRPr="00B5199B" w:rsidRDefault="00436E5B" w:rsidP="00B5199B">
      <w:pPr>
        <w:tabs>
          <w:tab w:val="center" w:pos="4256"/>
        </w:tabs>
        <w:bidi/>
        <w:spacing w:after="240"/>
        <w:jc w:val="both"/>
        <w:outlineLvl w:val="0"/>
        <w:rPr>
          <w:rFonts w:asciiTheme="minorBidi" w:hAnsiTheme="minorBidi"/>
          <w:b/>
          <w:bCs/>
          <w:sz w:val="32"/>
          <w:szCs w:val="32"/>
          <w:rtl/>
          <w:lang w:bidi="ar-EG"/>
        </w:rPr>
      </w:pPr>
      <w:r w:rsidRPr="00B5199B">
        <w:rPr>
          <w:rFonts w:asciiTheme="minorBidi" w:hAnsiTheme="minorBidi"/>
          <w:b/>
          <w:bCs/>
          <w:sz w:val="32"/>
          <w:szCs w:val="32"/>
          <w:rtl/>
          <w:lang w:bidi="ar-EG"/>
        </w:rPr>
        <w:t xml:space="preserve">     الخامس: </w:t>
      </w:r>
    </w:p>
    <w:p w14:paraId="4BEF5795"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لم يتحذ الإجراءات اللازمة حيال الصحفيين المنقطعين (من الأول حتى الرابع) وذلك لانقطاعهم عن العمل وتقاضيهم مبلغ(256240,84) جنيهاً دون وجه حق, على النحو الثابت بالأوراق.</w:t>
      </w:r>
    </w:p>
    <w:p w14:paraId="37FFD52F" w14:textId="77777777" w:rsidR="00436E5B" w:rsidRPr="00B5199B" w:rsidRDefault="00436E5B" w:rsidP="00B5199B">
      <w:pPr>
        <w:tabs>
          <w:tab w:val="center" w:pos="4256"/>
        </w:tabs>
        <w:bidi/>
        <w:spacing w:after="240"/>
        <w:jc w:val="both"/>
        <w:outlineLvl w:val="0"/>
        <w:rPr>
          <w:rFonts w:asciiTheme="minorBidi" w:hAnsiTheme="minorBidi"/>
          <w:b/>
          <w:bCs/>
          <w:sz w:val="32"/>
          <w:szCs w:val="32"/>
          <w:rtl/>
          <w:lang w:bidi="ar-EG"/>
        </w:rPr>
      </w:pPr>
      <w:r w:rsidRPr="00B5199B">
        <w:rPr>
          <w:rFonts w:asciiTheme="minorBidi" w:hAnsiTheme="minorBidi"/>
          <w:b/>
          <w:bCs/>
          <w:sz w:val="32"/>
          <w:szCs w:val="32"/>
          <w:rtl/>
          <w:lang w:bidi="ar-EG"/>
        </w:rPr>
        <w:t xml:space="preserve">     السادس:</w:t>
      </w:r>
    </w:p>
    <w:p w14:paraId="6CA22EAF"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بتاريخ 17/11/2014 لم يحترم رؤسائه ولم يراع اللياقة في معاملتهم, وذلك بأن قام بكتابة تصريحات عبر موقع البوابة نيوز يوم 17/11/2014 تتضمن اتهام لرئيس اتحاد الإذاعة والتليفزيون لمحاباته بعض العاملين بالاتحاد ومخالفته اللوائح والقوانين, وذلك على النحو الموضح تفصيلاً بالأوراق.</w:t>
      </w:r>
    </w:p>
    <w:p w14:paraId="24E5DBC6" w14:textId="77777777" w:rsidR="00436E5B" w:rsidRDefault="00436E5B" w:rsidP="00B5199B">
      <w:p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 xml:space="preserve">      وارتأت النيابة الإدارية أن المحالين المذكورين قد ارتكبوا المخالفات المالية والإدارية المنصوص عليها في المواد أرقام 56 ، ۱/۷۳ ، ۲ ، ۱۰ ، ۱۲ ، 14/1/74 ، 75 ، 76 ، ۷۷ ، ۷۸ من لائحة شئون العاملين الصادرة بقرار رئيس مجلس الأمناء رقم 590 لسنة 1996, ومن ثم طلبت محاكمتهم طبقا لتلك المواد, ومن ثم طلبت محاكمتهم عملاً بالمواد سالفة الذكر وغيرها من المواد المشار إليها بتقرير الاتهام.</w:t>
      </w:r>
    </w:p>
    <w:p w14:paraId="212CF97F" w14:textId="77777777" w:rsidR="00436E5B" w:rsidRDefault="00436E5B" w:rsidP="00B5199B">
      <w:pPr>
        <w:tabs>
          <w:tab w:val="center" w:pos="4256"/>
        </w:tabs>
        <w:bidi/>
        <w:spacing w:after="240"/>
        <w:jc w:val="both"/>
        <w:outlineLvl w:val="0"/>
        <w:rPr>
          <w:rFonts w:asciiTheme="minorBidi" w:eastAsiaTheme="minorHAnsi" w:hAnsiTheme="minorBidi"/>
          <w:sz w:val="32"/>
          <w:szCs w:val="32"/>
          <w:rtl/>
          <w:lang w:bidi="ar-EG"/>
        </w:rPr>
      </w:pPr>
      <w:r>
        <w:rPr>
          <w:rFonts w:asciiTheme="minorBidi" w:hAnsiTheme="minorBidi"/>
          <w:sz w:val="32"/>
          <w:szCs w:val="32"/>
          <w:rtl/>
          <w:lang w:bidi="ar-EG"/>
        </w:rPr>
        <w:t xml:space="preserve">      وتحدد لنظر الدعوي أمام المحكمة المذكورة جلسة 19/6/2019, حيث تداولت المحكمة نظر الدعوى بجلسات المرافعة, على النحو الثابت بمحاضر الجلسات, وبجلسة 22/2/2020 قضت المحكمة " بعدم اختصاصها نوعياً بنظر الدعوى وأمرت بإحالتها بحالتها إلى المحكمة التأديبية لمستوى الإدارة العليا للاختصاص". ونفاذاً للحكم سالف الذكر فقد أحيلت الدعوى إلى هذه المحكمة وقيدت بجداولها بالرقم المدون بصدر هذا الحكم.</w:t>
      </w:r>
    </w:p>
    <w:p w14:paraId="556C4A50"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وتحدد لنظر الدعوي أمام هذه المحكمة جلسة 2/9/2020, وتداولت المحكمة نظر الدعوى بجلسات المرافعة, على النحو الثابت بمحاضر الجلسات, قدم خلالها الحاضر عن المحال الخامس حافظتي مستندات طويتا على المستندات المعلاة على غلافها كما قدم مذكرة دفاع, وقدم الحاضر عن المحالتين الأولى والثانية مذكرة دفاع, وقدم الحاضر عن المحال الرابع مذكرتي دفاع, وقدم الحاضر عن المحال السادس مذكرة دفاع, وبجلسة 3/11/2021 قررت المحكمة حجز الدعوى للحكم بجلسة اليوم, وفيها صدر الحكم وأودعت مسودته المشتملة على أسبابه ومنطوقه عند النطق به.</w:t>
      </w:r>
    </w:p>
    <w:p w14:paraId="366BBC59" w14:textId="77777777" w:rsidR="00436E5B" w:rsidRPr="000E755D" w:rsidRDefault="00436E5B" w:rsidP="000E755D">
      <w:pPr>
        <w:tabs>
          <w:tab w:val="center" w:pos="4256"/>
        </w:tabs>
        <w:bidi/>
        <w:spacing w:after="240"/>
        <w:jc w:val="center"/>
        <w:outlineLvl w:val="0"/>
        <w:rPr>
          <w:rFonts w:asciiTheme="minorBidi" w:hAnsiTheme="minorBidi"/>
          <w:b/>
          <w:bCs/>
          <w:sz w:val="32"/>
          <w:szCs w:val="32"/>
          <w:rtl/>
          <w:lang w:bidi="ar-EG"/>
        </w:rPr>
      </w:pPr>
      <w:r w:rsidRPr="000E755D">
        <w:rPr>
          <w:rFonts w:asciiTheme="minorBidi" w:hAnsiTheme="minorBidi"/>
          <w:b/>
          <w:bCs/>
          <w:sz w:val="32"/>
          <w:szCs w:val="32"/>
          <w:rtl/>
          <w:lang w:bidi="ar-EG"/>
        </w:rPr>
        <w:t>الـمـحـكـمــــــة</w:t>
      </w:r>
    </w:p>
    <w:p w14:paraId="5E2581A4"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بعد الإطلاع على الأوراق، وسماع الإيضاحات، المداولة قانوناً.</w:t>
      </w:r>
    </w:p>
    <w:p w14:paraId="5FEB4C37"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t xml:space="preserve">       وحيث إن النيابة الإدارية تطلب محاكمة المحالين المذكورين تأديبياً عن المخالفات الإدارية المنسوبة إليهم بتقرير الاتهام وطبقاً لمواد الإسناد الواردة به تفصيلاً.</w:t>
      </w:r>
    </w:p>
    <w:p w14:paraId="60D7B970" w14:textId="77777777" w:rsidR="00436E5B" w:rsidRDefault="00436E5B" w:rsidP="00B5199B">
      <w:pPr>
        <w:tabs>
          <w:tab w:val="center" w:pos="4256"/>
        </w:tabs>
        <w:bidi/>
        <w:spacing w:after="240"/>
        <w:contextualSpacing/>
        <w:jc w:val="both"/>
        <w:outlineLvl w:val="0"/>
        <w:rPr>
          <w:rFonts w:asciiTheme="minorBidi" w:hAnsiTheme="minorBidi"/>
          <w:sz w:val="32"/>
          <w:szCs w:val="32"/>
          <w:rtl/>
          <w:lang w:bidi="ar-EG"/>
        </w:rPr>
      </w:pPr>
      <w:r>
        <w:rPr>
          <w:rFonts w:asciiTheme="minorBidi" w:hAnsiTheme="minorBidi"/>
          <w:color w:val="000000"/>
          <w:sz w:val="32"/>
          <w:szCs w:val="32"/>
          <w:rtl/>
          <w:lang w:bidi="ar-EG"/>
        </w:rPr>
        <w:t xml:space="preserve">      </w:t>
      </w:r>
      <w:r>
        <w:rPr>
          <w:rFonts w:asciiTheme="minorBidi" w:hAnsiTheme="minorBidi"/>
          <w:sz w:val="32"/>
          <w:szCs w:val="32"/>
          <w:rtl/>
          <w:lang w:bidi="ar-EG"/>
        </w:rPr>
        <w:t>ومن حيث إن الدعوى الماثلة قد استوفت سائر أوضاعها الشكلية, فمن ثم فإنها تغدو مقبولة شكلاً.</w:t>
      </w:r>
    </w:p>
    <w:p w14:paraId="4EF1E743" w14:textId="77777777" w:rsidR="00436E5B" w:rsidRDefault="00436E5B" w:rsidP="00B5199B">
      <w:pPr>
        <w:tabs>
          <w:tab w:val="center" w:pos="4256"/>
        </w:tabs>
        <w:bidi/>
        <w:spacing w:after="240"/>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ومن</w:t>
      </w:r>
      <w:r>
        <w:rPr>
          <w:rFonts w:asciiTheme="minorBidi" w:hAnsiTheme="minorBidi"/>
          <w:color w:val="FF0000"/>
          <w:sz w:val="32"/>
          <w:szCs w:val="32"/>
          <w:rtl/>
          <w:lang w:bidi="ar-EG"/>
        </w:rPr>
        <w:t xml:space="preserve"> </w:t>
      </w:r>
      <w:r>
        <w:rPr>
          <w:rFonts w:asciiTheme="minorBidi" w:hAnsiTheme="minorBidi"/>
          <w:sz w:val="32"/>
          <w:szCs w:val="32"/>
          <w:rtl/>
          <w:lang w:bidi="ar-EG"/>
        </w:rPr>
        <w:t>حيث إن وقائع الدعوى الماثلة يخلص موضوعها فيما جاء ببلاغ</w:t>
      </w:r>
      <w:r>
        <w:rPr>
          <w:rFonts w:asciiTheme="minorBidi" w:hAnsiTheme="minorBidi"/>
          <w:color w:val="000000"/>
          <w:sz w:val="32"/>
          <w:szCs w:val="32"/>
          <w:rtl/>
          <w:lang w:bidi="ar-EG"/>
        </w:rPr>
        <w:t xml:space="preserve"> الإدارة المركزية للشئون القانونية برئاسة اتحاد الإزاعة والتليفزيون بشأن انقطاع بعض الصحفيين عن العمل خلال الفترة من 1/1/2013 حتى 28/5/2013, وهم </w:t>
      </w:r>
      <w:r>
        <w:rPr>
          <w:rFonts w:asciiTheme="minorBidi" w:hAnsiTheme="minorBidi"/>
          <w:sz w:val="32"/>
          <w:szCs w:val="32"/>
          <w:rtl/>
          <w:lang w:bidi="ar-EG"/>
        </w:rPr>
        <w:t xml:space="preserve">عايدة حسن محمد محسب , سكرتير تحرير بمجلة الإذاعة والتليفزيون, ولاء فصيح أحمد حجاج, محرره بذات المجلة, غادة عبدالمنعم حسن, نائب رئيس تحرير بذات المجلة, صلاح توفیق عبداللاه, محرر بذات المجلة, </w:t>
      </w:r>
      <w:r>
        <w:rPr>
          <w:rFonts w:asciiTheme="minorBidi" w:hAnsiTheme="minorBidi"/>
          <w:color w:val="000000"/>
          <w:sz w:val="32"/>
          <w:szCs w:val="32"/>
          <w:rtl/>
          <w:lang w:bidi="ar-EG"/>
        </w:rPr>
        <w:t>وأنهم ما زالوا منقطعين عن العمل حتى تاريخ إبلاغ النيابة الإدارية, وأنهم كانوا يتقاضون مستحقاتهم المالية دون وجه حق,</w:t>
      </w:r>
      <w:r>
        <w:rPr>
          <w:rFonts w:asciiTheme="minorBidi" w:hAnsiTheme="minorBidi"/>
          <w:sz w:val="32"/>
          <w:szCs w:val="32"/>
          <w:rtl/>
          <w:lang w:bidi="ar-EG"/>
        </w:rPr>
        <w:t xml:space="preserve"> وقد باشرت النيابة الإدارية التحقيق في الموضوع بموجب القضية رقم (329) لسنة 2014 و</w:t>
      </w:r>
      <w:r>
        <w:rPr>
          <w:rFonts w:asciiTheme="minorBidi" w:hAnsiTheme="minorBidi"/>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14:paraId="3141CC8F" w14:textId="77777777" w:rsidR="00436E5B" w:rsidRDefault="00436E5B" w:rsidP="00B5199B">
      <w:pPr>
        <w:bidi/>
        <w:spacing w:before="40" w:after="240"/>
        <w:jc w:val="both"/>
        <w:rPr>
          <w:rFonts w:asciiTheme="minorBidi" w:hAnsiTheme="minorBidi"/>
          <w:sz w:val="32"/>
          <w:szCs w:val="32"/>
          <w:rtl/>
          <w:lang w:bidi="ar-EG"/>
        </w:rPr>
      </w:pPr>
      <w:r>
        <w:rPr>
          <w:rFonts w:asciiTheme="minorBidi" w:hAnsiTheme="minorBidi"/>
          <w:color w:val="000000"/>
          <w:sz w:val="32"/>
          <w:szCs w:val="32"/>
          <w:rtl/>
          <w:lang w:bidi="ar-EG"/>
        </w:rPr>
        <w:t xml:space="preserve">       </w:t>
      </w:r>
      <w:r>
        <w:rPr>
          <w:rFonts w:asciiTheme="minorBidi" w:hAnsiTheme="minorBidi"/>
          <w:sz w:val="32"/>
          <w:szCs w:val="32"/>
          <w:rtl/>
          <w:lang w:bidi="ar-EG"/>
        </w:rPr>
        <w:t>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14:paraId="44514DE9" w14:textId="77777777" w:rsidR="00436E5B" w:rsidRDefault="00436E5B" w:rsidP="00B5199B">
      <w:pPr>
        <w:bidi/>
        <w:spacing w:after="240"/>
        <w:jc w:val="both"/>
        <w:rPr>
          <w:rFonts w:asciiTheme="minorBidi" w:eastAsiaTheme="minorHAnsi" w:hAnsiTheme="minorBidi"/>
          <w:sz w:val="32"/>
          <w:szCs w:val="32"/>
          <w:rtl/>
        </w:rPr>
      </w:pPr>
      <w:r>
        <w:rPr>
          <w:rFonts w:asciiTheme="minorBidi" w:hAnsiTheme="minorBidi"/>
          <w:color w:val="FF0000"/>
          <w:sz w:val="32"/>
          <w:szCs w:val="32"/>
          <w:rtl/>
        </w:rPr>
        <w:t xml:space="preserve">      </w:t>
      </w:r>
      <w:r>
        <w:rPr>
          <w:rFonts w:asciiTheme="minorBidi" w:hAnsiTheme="minorBidi"/>
          <w:sz w:val="32"/>
          <w:szCs w:val="32"/>
          <w:rtl/>
        </w:rPr>
        <w:t>وأن المسئولية التأديبية تقوم فى جوهرها على مخالفة الموظف للقوانين واللوائح والتعليمات، وأن هذه المخالفة قد تتم بفعل إيجابى يصدر عن الموظف قاصدا به مخالفة أحكام القوانين أو اللوائح أو التعليمات المنظمة لاختصاصات وظيفته ولطريقة أداءه لأعمالها، أو تتمثل فى فعل سلبى بالامتناع عن تنفيذ تلك القوانين أو اللوائح والتعليمات. وأن المحكمة وهى بصدد مساءلة الموظف عن الأفعال المنسوب إليه ارتكابها فإنها تقارن هذه الأفعال بما نصت عليه القوانين واللوائح والتعليمات المنظمة لأعمال وظيفته أو تلك المتعلقة بأحكام الوظيفة العامة بوجه عام للوقوف على مدى مطابقة هذه الأفعال لما نصت عليه القوانين واللوائح والتعليمات أو مخالفتها وتعارضها معها</w:t>
      </w:r>
      <w:r>
        <w:rPr>
          <w:rFonts w:asciiTheme="minorBidi" w:hAnsiTheme="minorBidi"/>
          <w:sz w:val="32"/>
          <w:szCs w:val="32"/>
        </w:rPr>
        <w:t xml:space="preserve"> </w:t>
      </w:r>
      <w:r>
        <w:rPr>
          <w:rFonts w:asciiTheme="minorBidi" w:hAnsiTheme="minorBidi"/>
          <w:sz w:val="32"/>
          <w:szCs w:val="32"/>
          <w:rtl/>
          <w:lang w:bidi="ar-EG"/>
        </w:rPr>
        <w:t xml:space="preserve">بما يمكنها من التحقق من ثبوت ارتكابه للأفعال المنسوبة إليه من عدمه. وإن </w:t>
      </w:r>
      <w:r>
        <w:rPr>
          <w:rFonts w:asciiTheme="minorBidi" w:hAnsiTheme="minorBidi"/>
          <w:sz w:val="32"/>
          <w:szCs w:val="32"/>
          <w:rtl/>
        </w:rPr>
        <w:t>التعليمات والمنشورات والأوامر المصلحية التى تصدر عن رئيس المصلحة الي مرؤوسيه متضمنة تفسير القوانين والتشريعات القائمة وكيفية تنفيذها، يجب أن تصدر مكتوبة وأن تكون واضحة</w:t>
      </w:r>
      <w:r>
        <w:rPr>
          <w:rFonts w:asciiTheme="minorBidi" w:hAnsiTheme="minorBidi"/>
          <w:sz w:val="32"/>
          <w:szCs w:val="32"/>
          <w:rtl/>
          <w:lang w:bidi="ar-EG"/>
        </w:rPr>
        <w:t xml:space="preserve"> ومحددة</w:t>
      </w:r>
      <w:r>
        <w:rPr>
          <w:rFonts w:asciiTheme="minorBidi" w:hAnsiTheme="minorBidi"/>
          <w:sz w:val="32"/>
          <w:szCs w:val="32"/>
          <w:rtl/>
        </w:rPr>
        <w:t xml:space="preserve"> وقاطعة الدلالة على معناها بما يتيح للموظف الإحاطة بها والإلمام بمحتواها ومن ثم التقيد بها وتنفيذها على نحو دقيق. وإنه ولئن كانت هناك بعض المخالفات الإدارية تقوم على الخروج على الواجب الوظيفى ومقتضيات الوظيفة العامة، فيجازى الموظف عن الأهمال والتقصير فى أداء أعمال وظيفته، وعن الأفعال التى تجعله محاطا بالريبة والشبهات، وتلك التى تمثل إخلالا بكرامة الوظيفة العامة وما تفرضه من تعفف واستقامة وبعد عن مواطن الريبة والدنايا، وكذلك عن كل ما يخالف قيم المجتمع ومعتقداته الراسخة والعرف العام؛ غير أن هناك مخالفات إدارية أخرى لا يتصور قيامها إلا لمخالفة مرتكبيها للقوانين أو اللوائح أو التعليمات، فإذا انتفت عن أفعالها شبه مخالفة القوانين أو اللوائح أو التعليمات؛ انتفت عنها صفة المخالفة الإدارية. </w:t>
      </w:r>
    </w:p>
    <w:p w14:paraId="7E26B3D0" w14:textId="77777777" w:rsidR="00436E5B" w:rsidRDefault="00436E5B" w:rsidP="00B5199B">
      <w:pPr>
        <w:bidi/>
        <w:spacing w:after="240"/>
        <w:jc w:val="lowKashida"/>
        <w:rPr>
          <w:rFonts w:asciiTheme="minorBidi" w:hAnsiTheme="minorBidi"/>
          <w:color w:val="000000"/>
          <w:sz w:val="32"/>
          <w:szCs w:val="32"/>
          <w:rtl/>
          <w:lang w:bidi="ar-EG"/>
        </w:rPr>
      </w:pPr>
      <w:r>
        <w:rPr>
          <w:rFonts w:asciiTheme="minorBidi" w:hAnsiTheme="minorBidi"/>
          <w:sz w:val="32"/>
          <w:szCs w:val="32"/>
          <w:rtl/>
          <w:lang w:bidi="ar-EG"/>
        </w:rPr>
        <w:lastRenderedPageBreak/>
        <w:t xml:space="preserve">     وأن</w:t>
      </w:r>
      <w:r>
        <w:rPr>
          <w:rFonts w:asciiTheme="minorBidi" w:hAnsiTheme="minorBidi"/>
          <w:color w:val="000000"/>
          <w:sz w:val="32"/>
          <w:szCs w:val="32"/>
          <w:rtl/>
          <w:lang w:bidi="ar-EG"/>
        </w:rPr>
        <w:t xml:space="preserve">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14:paraId="2DCD4067" w14:textId="77777777" w:rsidR="00436E5B" w:rsidRDefault="00436E5B" w:rsidP="00B5199B">
      <w:pPr>
        <w:bidi/>
        <w:spacing w:after="240"/>
        <w:jc w:val="lowKashida"/>
        <w:rPr>
          <w:rFonts w:asciiTheme="minorBidi" w:hAnsiTheme="minorBidi"/>
          <w:color w:val="000000"/>
          <w:sz w:val="32"/>
          <w:szCs w:val="32"/>
          <w:rtl/>
          <w:lang w:bidi="ar-EG"/>
        </w:rPr>
      </w:pPr>
      <w:r>
        <w:rPr>
          <w:rFonts w:asciiTheme="minorBidi" w:hAnsiTheme="minorBidi"/>
          <w:color w:val="000000"/>
          <w:sz w:val="32"/>
          <w:szCs w:val="32"/>
          <w:rtl/>
          <w:lang w:bidi="ar-EG"/>
        </w:rPr>
        <w:t xml:space="preserve">        </w:t>
      </w:r>
      <w:r>
        <w:rPr>
          <w:rFonts w:asciiTheme="minorBidi" w:hAnsiTheme="minorBidi"/>
          <w:sz w:val="32"/>
          <w:szCs w:val="32"/>
          <w:rtl/>
        </w:rPr>
        <w:t xml:space="preserve">ومن حيث إنه عن المخالفة المنسوبة إلى المحالة الأولى/ </w:t>
      </w:r>
      <w:r>
        <w:rPr>
          <w:rFonts w:asciiTheme="minorBidi" w:hAnsiTheme="minorBidi"/>
          <w:sz w:val="32"/>
          <w:szCs w:val="32"/>
          <w:rtl/>
          <w:lang w:bidi="ar-EG"/>
        </w:rPr>
        <w:t>عايدة حسن محمد محسب, بصفتها سكرتير تحرير بمجلة الإذاعة والتليفزيون, والمحالة الثانية/ ولاء فصيح أحمد حجاج, بصفتها محرره بذات المجلة, والمحالة الثالثة/ غادة عبدالمنعم حسن, بصفتها نائب رئيس تحرير بذات المجلة, والمحال الرابع/ صلاح توفیق عبداللاه, بصفتها محرر بذات المجلة, والتي تتمثل في أنهم انقطعوا عن العمل بالمجلة في الفترة من 1/1/2013 حتى 31/10/2014, وقيام المحالة الأولى بصرف مبلغ (58445,47) جنيهاً, والثانية بصرف مبلغ (44539,27) جنيهاً, والثالثة بصرف مبلغ (95389,88) جنيهاً, والرابع بصرف مبلغ (57866,22) جنيهاً, وذلك دون وجه حق</w:t>
      </w:r>
      <w:r>
        <w:rPr>
          <w:rFonts w:asciiTheme="minorBidi" w:hAnsiTheme="minorBidi"/>
          <w:color w:val="FF0000"/>
          <w:sz w:val="32"/>
          <w:szCs w:val="32"/>
          <w:rtl/>
          <w:lang w:bidi="ar-EG"/>
        </w:rPr>
        <w:t>.</w:t>
      </w:r>
      <w:r>
        <w:rPr>
          <w:rFonts w:asciiTheme="minorBidi" w:hAnsiTheme="minorBidi"/>
          <w:sz w:val="32"/>
          <w:szCs w:val="32"/>
          <w:rtl/>
          <w:lang w:bidi="ar-EG"/>
        </w:rPr>
        <w:t xml:space="preserve"> </w:t>
      </w:r>
    </w:p>
    <w:p w14:paraId="362C836A" w14:textId="77777777" w:rsidR="00436E5B" w:rsidRDefault="00436E5B" w:rsidP="00B5199B">
      <w:pPr>
        <w:bidi/>
        <w:spacing w:after="240"/>
        <w:jc w:val="lowKashida"/>
        <w:rPr>
          <w:rFonts w:asciiTheme="minorBidi" w:hAnsiTheme="minorBidi"/>
          <w:color w:val="000000"/>
          <w:sz w:val="32"/>
          <w:szCs w:val="32"/>
          <w:rtl/>
        </w:rPr>
      </w:pPr>
      <w:r>
        <w:rPr>
          <w:rFonts w:asciiTheme="minorBidi" w:hAnsiTheme="minorBidi"/>
          <w:color w:val="000000"/>
          <w:sz w:val="32"/>
          <w:szCs w:val="32"/>
          <w:rtl/>
          <w:lang w:bidi="ar-EG"/>
        </w:rPr>
        <w:t xml:space="preserve">      </w:t>
      </w:r>
      <w:r>
        <w:rPr>
          <w:rFonts w:asciiTheme="minorBidi" w:hAnsiTheme="minorBidi"/>
          <w:sz w:val="32"/>
          <w:szCs w:val="32"/>
          <w:rtl/>
        </w:rPr>
        <w:t>ومن حيث إن المحكمة قد تبين لها وهى بصدد بحث المخالفات المنسوبة للمحالين (من الأولى حتى الرابع) أن موضوع هذه المخالفات جميعها يتعلق بانقطاعهم عن العمل</w:t>
      </w:r>
      <w:r>
        <w:rPr>
          <w:rFonts w:asciiTheme="minorBidi" w:hAnsiTheme="minorBidi"/>
          <w:sz w:val="32"/>
          <w:szCs w:val="32"/>
          <w:rtl/>
          <w:lang w:bidi="ar-EG"/>
        </w:rPr>
        <w:t xml:space="preserve"> خلال الفترة من 1/1/2013 حتى 31/10/2014</w:t>
      </w:r>
      <w:r>
        <w:rPr>
          <w:rFonts w:asciiTheme="minorBidi" w:hAnsiTheme="minorBidi"/>
          <w:sz w:val="32"/>
          <w:szCs w:val="32"/>
          <w:rtl/>
        </w:rPr>
        <w:t>، وصرف رواتبهم خلال تلك الفترة دون وجه حق. وإذ اقتصر ملف الدعوى إثباتا لتلك المخالفات على التحقيقات التى أجرتها النيابة الإدارية مع المحالين والشهود، وتبين للمحكمة إن المخالفات سالفة البيان لا يكفى للتحقق من وقوعها وإثبات أو نفى ارتكاب المحالون لها الاستناد إلى الأقوال التى أدلى بها المحالون والشهود فى التحقيقات، وأنها لا يتصور قيامها إلا بوجود لوائح أو تعليمات إدارية أو منشورات مصلحية تحدد على نحو قاطع قواعد الحضور والانصراف للصحفيين العاملين بالمجلة، وإثبات مدى مخالفة المحالون المذكورون لهذه اللوائح والتعليمات؛</w:t>
      </w:r>
      <w:r>
        <w:rPr>
          <w:rFonts w:asciiTheme="minorBidi" w:hAnsiTheme="minorBidi"/>
          <w:color w:val="FF0000"/>
          <w:sz w:val="32"/>
          <w:szCs w:val="32"/>
          <w:rtl/>
        </w:rPr>
        <w:t xml:space="preserve"> </w:t>
      </w:r>
      <w:r>
        <w:rPr>
          <w:rFonts w:asciiTheme="minorBidi" w:hAnsiTheme="minorBidi"/>
          <w:sz w:val="32"/>
          <w:szCs w:val="32"/>
          <w:rtl/>
        </w:rPr>
        <w:t xml:space="preserve">ومن ثم قررت المحكمة إعادة الدعوى للمرافعة أكثر من مرة لتقدم النيابة الإدارية </w:t>
      </w:r>
      <w:r>
        <w:rPr>
          <w:rFonts w:asciiTheme="minorBidi" w:hAnsiTheme="minorBidi"/>
          <w:color w:val="FF0000"/>
          <w:sz w:val="32"/>
          <w:szCs w:val="32"/>
          <w:rtl/>
        </w:rPr>
        <w:t xml:space="preserve">عدد </w:t>
      </w:r>
      <w:r>
        <w:rPr>
          <w:rFonts w:asciiTheme="minorBidi" w:hAnsiTheme="minorBidi"/>
          <w:sz w:val="32"/>
          <w:szCs w:val="32"/>
          <w:rtl/>
        </w:rPr>
        <w:t xml:space="preserve">من المستندات والبيانات الخاصة بالمجلة المشار إليها, أهمها الضوابط المقررة من قبل مجلس إدارة المجلة بشأن حضور وانصراف الصحفيين وكذا بشأن الانتاج الصحفي المطلوب تقديمه منهم, والتي تم إقرارها في اجتماع مجلس إدارة المجلة </w:t>
      </w:r>
      <w:r>
        <w:rPr>
          <w:rFonts w:asciiTheme="minorBidi" w:hAnsiTheme="minorBidi"/>
          <w:color w:val="FF0000"/>
          <w:sz w:val="32"/>
          <w:szCs w:val="32"/>
          <w:rtl/>
        </w:rPr>
        <w:t xml:space="preserve">المعقود بتاريخ </w:t>
      </w:r>
      <w:r>
        <w:rPr>
          <w:rFonts w:asciiTheme="minorBidi" w:hAnsiTheme="minorBidi"/>
          <w:sz w:val="32"/>
          <w:szCs w:val="32"/>
          <w:rtl/>
        </w:rPr>
        <w:t xml:space="preserve">16/11/2011, وبيان ما إذا كانت هذه الضوابط قد تم إفراغها في شكل قرار إداري تنظيمي تم نشره </w:t>
      </w:r>
      <w:r>
        <w:rPr>
          <w:rFonts w:asciiTheme="minorBidi" w:hAnsiTheme="minorBidi"/>
          <w:color w:val="FF0000"/>
          <w:sz w:val="32"/>
          <w:szCs w:val="32"/>
          <w:rtl/>
        </w:rPr>
        <w:t>وإعلان</w:t>
      </w:r>
      <w:r>
        <w:rPr>
          <w:rFonts w:asciiTheme="minorBidi" w:hAnsiTheme="minorBidi"/>
          <w:sz w:val="32"/>
          <w:szCs w:val="32"/>
          <w:rtl/>
        </w:rPr>
        <w:t xml:space="preserve"> الصحفيين العاملين بالمجلة به من عدمه. وإذ خاطبت النيابة الإدارية الجهة الإدارية لتقديم ما أمرت به المحكمة، إلا أن الأخيرة قدمت بعض المستندات ونكلت عن تقديم البعض الأخر ومنها تقديم ما يفيد أن ضوابط حضور وانصراف الصحفيين التي تم إقرارها في اجتماع مجلس إدارة المجلة </w:t>
      </w:r>
      <w:r>
        <w:rPr>
          <w:rFonts w:asciiTheme="minorBidi" w:hAnsiTheme="minorBidi"/>
          <w:color w:val="FF0000"/>
          <w:sz w:val="32"/>
          <w:szCs w:val="32"/>
          <w:rtl/>
        </w:rPr>
        <w:t xml:space="preserve">المعقود بتاريخ </w:t>
      </w:r>
      <w:r>
        <w:rPr>
          <w:rFonts w:asciiTheme="minorBidi" w:hAnsiTheme="minorBidi"/>
          <w:sz w:val="32"/>
          <w:szCs w:val="32"/>
          <w:rtl/>
        </w:rPr>
        <w:t xml:space="preserve">16/11/2011 قد تم إفراغها في شكل قرار إداري تنظيمي تم نشره </w:t>
      </w:r>
      <w:r>
        <w:rPr>
          <w:rFonts w:asciiTheme="minorBidi" w:hAnsiTheme="minorBidi"/>
          <w:color w:val="FF0000"/>
          <w:sz w:val="32"/>
          <w:szCs w:val="32"/>
          <w:rtl/>
        </w:rPr>
        <w:t>وإعلان</w:t>
      </w:r>
      <w:r>
        <w:rPr>
          <w:rFonts w:asciiTheme="minorBidi" w:hAnsiTheme="minorBidi"/>
          <w:sz w:val="32"/>
          <w:szCs w:val="32"/>
          <w:rtl/>
        </w:rPr>
        <w:t xml:space="preserve"> الصحفيين العاملين بالمجلة به بما يتيح لهم العلم اليقينى بهذه الضوابط والتعليمات ويمكنهم من اتباعها والعمل بمقتضاها،</w:t>
      </w:r>
      <w:r>
        <w:rPr>
          <w:rFonts w:asciiTheme="minorBidi" w:hAnsiTheme="minorBidi"/>
          <w:color w:val="FF0000"/>
          <w:sz w:val="32"/>
          <w:szCs w:val="32"/>
          <w:rtl/>
        </w:rPr>
        <w:t xml:space="preserve"> </w:t>
      </w:r>
      <w:r>
        <w:rPr>
          <w:rFonts w:asciiTheme="minorBidi" w:hAnsiTheme="minorBidi"/>
          <w:sz w:val="32"/>
          <w:szCs w:val="32"/>
          <w:rtl/>
        </w:rPr>
        <w:t xml:space="preserve">واكتفت الجهة الإدارية - في سبيل تنفيذ قرار المحكمة – بتقديم كتاب مدير إدارة شئون العاملين بالمجلة الموجه إلى مدير عام الشئون المالية والإدارية والمدون بالبند رقم (4) منه العبارة التالية " تم إعلان ضوابط الحضور والانصراف للصحفيين المقررة بجلسة اجتماع مجلس الإدارة رقم (121) بتاريخ 16/11/2011 بلوحة الإعلانات بالمجلة بمعرفة السيد/ رئيس التحرير في ذلك الوقت"، وقد تم إعداد هذا الكتاب ردا على طلبات المحكمة، وبمناسبة نظرها للدعوى، وبعد توجيه الإتهام للمحالين فى الدعوى </w:t>
      </w:r>
      <w:r>
        <w:rPr>
          <w:rFonts w:asciiTheme="minorBidi" w:hAnsiTheme="minorBidi"/>
          <w:sz w:val="32"/>
          <w:szCs w:val="32"/>
          <w:rtl/>
        </w:rPr>
        <w:lastRenderedPageBreak/>
        <w:t xml:space="preserve">الماثلة، ودون بيان تاريخ الإعلان عن هذه الضوابط وتاريخ البدء فى العمل بها وتطبيقها على فرض حدوثه، وهو بذلك لا يمكن الاعتداد به كدليل على نشر هذه الضوابط أو إعلان الصحفيين بها, لاسيما في ضوء ما ثبت </w:t>
      </w:r>
      <w:r>
        <w:rPr>
          <w:rFonts w:asciiTheme="minorBidi" w:hAnsiTheme="minorBidi"/>
          <w:color w:val="FF0000"/>
          <w:sz w:val="32"/>
          <w:szCs w:val="32"/>
          <w:rtl/>
        </w:rPr>
        <w:t>من</w:t>
      </w:r>
      <w:r>
        <w:rPr>
          <w:rFonts w:asciiTheme="minorBidi" w:hAnsiTheme="minorBidi"/>
          <w:sz w:val="32"/>
          <w:szCs w:val="32"/>
          <w:rtl/>
        </w:rPr>
        <w:t xml:space="preserve"> التحقيقات من إنكار المحالين للمخالفة المنسوبة لهم, </w:t>
      </w:r>
      <w:r>
        <w:rPr>
          <w:rFonts w:asciiTheme="minorBidi" w:hAnsiTheme="minorBidi"/>
          <w:color w:val="FF0000"/>
          <w:sz w:val="32"/>
          <w:szCs w:val="32"/>
          <w:rtl/>
        </w:rPr>
        <w:t>وما</w:t>
      </w:r>
      <w:r>
        <w:rPr>
          <w:rFonts w:asciiTheme="minorBidi" w:hAnsiTheme="minorBidi"/>
          <w:sz w:val="32"/>
          <w:szCs w:val="32"/>
          <w:rtl/>
        </w:rPr>
        <w:t xml:space="preserve"> ثبت من شهادة/ ناهد حلمي عطية, مدير الشئون المالية والإدارية بمجلة الإذاعة والتليفزيون, من عدم وجود كشوف حضور وانصراف للصحفيين بالمجلة،</w:t>
      </w:r>
      <w:r>
        <w:rPr>
          <w:rFonts w:asciiTheme="minorBidi" w:hAnsiTheme="minorBidi"/>
          <w:color w:val="FF0000"/>
          <w:sz w:val="32"/>
          <w:szCs w:val="32"/>
          <w:rtl/>
        </w:rPr>
        <w:t xml:space="preserve"> </w:t>
      </w:r>
      <w:r>
        <w:rPr>
          <w:rFonts w:asciiTheme="minorBidi" w:hAnsiTheme="minorBidi"/>
          <w:sz w:val="32"/>
          <w:szCs w:val="32"/>
          <w:rtl/>
        </w:rPr>
        <w:t xml:space="preserve">وكذا ما ثبت بالتحقيقات من عدم وجود آلية مقررة ومعلنة لتقييم إنتاج الصحفيبن وإثابتهم عليه, وهو ما يكشف عن وجود قصور إدارى وتنظيمى بجهة عمل المحالين من شأنه أن يؤدى إلى ضياع وإهدار المال العام. </w:t>
      </w:r>
    </w:p>
    <w:p w14:paraId="64BA44BC" w14:textId="77777777" w:rsidR="00436E5B" w:rsidRDefault="00436E5B" w:rsidP="00B5199B">
      <w:pPr>
        <w:bidi/>
        <w:spacing w:after="240"/>
        <w:jc w:val="lowKashida"/>
        <w:rPr>
          <w:rFonts w:asciiTheme="minorBidi" w:hAnsiTheme="minorBidi"/>
          <w:color w:val="000000"/>
          <w:sz w:val="32"/>
          <w:szCs w:val="32"/>
          <w:rtl/>
          <w:lang w:bidi="ar-EG"/>
        </w:rPr>
      </w:pPr>
      <w:r>
        <w:rPr>
          <w:rFonts w:asciiTheme="minorBidi" w:hAnsiTheme="minorBidi"/>
          <w:color w:val="000000"/>
          <w:sz w:val="32"/>
          <w:szCs w:val="32"/>
          <w:rtl/>
        </w:rPr>
        <w:t xml:space="preserve">     </w:t>
      </w:r>
      <w:r>
        <w:rPr>
          <w:rFonts w:asciiTheme="minorBidi" w:hAnsiTheme="minorBidi"/>
          <w:sz w:val="32"/>
          <w:szCs w:val="32"/>
          <w:rtl/>
        </w:rPr>
        <w:t>ومن حيث إنه متى كان ما تقدم، وفى ضوء ما أستقر عليه قضاء المحكمة الإدارية العليا من أن أحكام الإدانة لابد أن تبنى على القطع واليقين وليس على الشك والتخمين، ذلك لأن المحكمة التأديبية فى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وأن هذه الوقائع تكون مخالفة تستوجب المؤاخذة التأديبية (المحكمة الإدارية العليا - الطعن رقم 2439 لسنة 30 ق ع - جلسة 25/11/1986 - مجموعة أحكام السنة 32 - ج 1 - ص 269)، وكانت المخالفات المنسوبة للمحالين لا يمكن التحقق من وقوعها إلا بوجود ضوابط حضور وانصراف للصحفيين في المجلة المذكورة يكون قد تم إفراغها في شكل قرار إداري تنظيمي تم نشره أو إعلان الصحفيين العاملين بالمجلة به، وهو ما خلت أوراق الدعوى ومستنداتها من ثمة دليل عليه, بما يحول دون قيام المحكمة بالتحقق والتأكد من ارتكاب المحالون لهذه المخالفات على نحو القطع واليقين؛ ومن ثم فإن المحكمة لا يسعها، والحالة كذلك، سوى القضاء ببراءة المحالين من المخالفات المنسوبة إليهم</w:t>
      </w:r>
      <w:r>
        <w:rPr>
          <w:rFonts w:asciiTheme="minorBidi" w:hAnsiTheme="minorBidi"/>
          <w:sz w:val="32"/>
          <w:szCs w:val="32"/>
          <w:rtl/>
          <w:lang w:bidi="ar-EG"/>
        </w:rPr>
        <w:t>.</w:t>
      </w:r>
      <w:r>
        <w:rPr>
          <w:rFonts w:asciiTheme="minorBidi" w:hAnsiTheme="minorBidi"/>
          <w:sz w:val="32"/>
          <w:szCs w:val="32"/>
          <w:lang w:bidi="ar-EG"/>
        </w:rPr>
        <w:t xml:space="preserve"> </w:t>
      </w:r>
    </w:p>
    <w:p w14:paraId="58EBC839" w14:textId="77777777" w:rsidR="00436E5B" w:rsidRDefault="00436E5B" w:rsidP="00B5199B">
      <w:pPr>
        <w:bidi/>
        <w:spacing w:after="240"/>
        <w:jc w:val="lowKashida"/>
        <w:rPr>
          <w:rFonts w:asciiTheme="minorBidi" w:hAnsiTheme="minorBidi"/>
          <w:color w:val="000000"/>
          <w:sz w:val="32"/>
          <w:szCs w:val="32"/>
          <w:rtl/>
          <w:lang w:bidi="ar-EG"/>
        </w:rPr>
      </w:pPr>
      <w:r>
        <w:rPr>
          <w:rFonts w:asciiTheme="minorBidi" w:hAnsiTheme="minorBidi"/>
          <w:color w:val="000000"/>
          <w:sz w:val="32"/>
          <w:szCs w:val="32"/>
          <w:rtl/>
          <w:lang w:bidi="ar-EG"/>
        </w:rPr>
        <w:t xml:space="preserve">      </w:t>
      </w:r>
      <w:r>
        <w:rPr>
          <w:rFonts w:asciiTheme="minorBidi" w:hAnsiTheme="minorBidi"/>
          <w:sz w:val="32"/>
          <w:szCs w:val="32"/>
          <w:rtl/>
          <w:lang w:bidi="ar-EG"/>
        </w:rPr>
        <w:t xml:space="preserve">ومن حيث إنه عن المخالفة المنسوبة للمحال الخامس/ محمد أحمد أحمد الغيطي, بصفته نائب رئيس تحرير بمجلة الإزاعة والتلفزيون, والتي تتمثل في أنه لم يتحذ الإجراءات اللازمة حيال الصحفيين المنقطعين (من الأول حتى الرابع) وذلك لانقطاعهم عن العمل وتقاضيهم مبلغ (256240,84) جنيهاً دون وجه حق, فإنه لما كانت المحكمة قد انتهت – على النحو السالف بيانه- إلى عدم ثبوت المخالفة المنسوبة إلى المحالين (من الأول حتى الرابع) والتي تتمثل في انقطاعهم عن العمل بالمجلة خلال الفترة من 1/1/2013 حتى 31/10/2014, ومن ثم برائتهم من شبهة ارتكابها, وكان ثبوت المخالفة المنسوبة إلى المحال الخامس </w:t>
      </w:r>
      <w:r>
        <w:rPr>
          <w:rFonts w:asciiTheme="minorBidi" w:hAnsiTheme="minorBidi"/>
          <w:color w:val="FF0000"/>
          <w:sz w:val="32"/>
          <w:szCs w:val="32"/>
          <w:rtl/>
          <w:lang w:bidi="ar-EG"/>
        </w:rPr>
        <w:t>يتوقف</w:t>
      </w:r>
      <w:r>
        <w:rPr>
          <w:rFonts w:asciiTheme="minorBidi" w:hAnsiTheme="minorBidi"/>
          <w:sz w:val="32"/>
          <w:szCs w:val="32"/>
          <w:rtl/>
          <w:lang w:bidi="ar-EG"/>
        </w:rPr>
        <w:t xml:space="preserve"> على ثبوت المخالفة المنسوبة للمحالين من الأول حتى الرابع ومرتبطة بها, بحسبان أن المخالفة المنسوبة للمحال الخامس هي عدم اتخاذ الإجراءات اللازمة حيال واقعة انقطاع المحالين من الأول حتى الرابع عن العمل, وكانت هذه الواقعة غير ثابتة في حق هؤلاء المحالين, وهو ما حدا بالمحكمة إلى القضاء ببراءتهم من شبهة ارتكابها, ومن ثم وبالتبعية تكون المخالفة المنسوبة للمحال الخامس غير ثابتة في حقه, الأمر الذي لا مناص معه - والحال كذلك - من القضاء ببراءة المحال الخامس من شبهة ارتكاب المخالفة المنسوبة إليه.</w:t>
      </w:r>
    </w:p>
    <w:p w14:paraId="686D0A12" w14:textId="77777777" w:rsidR="00436E5B" w:rsidRDefault="00436E5B" w:rsidP="00B5199B">
      <w:pPr>
        <w:bidi/>
        <w:spacing w:after="240"/>
        <w:jc w:val="lowKashida"/>
        <w:rPr>
          <w:rFonts w:asciiTheme="minorBidi" w:hAnsiTheme="minorBidi"/>
          <w:sz w:val="32"/>
          <w:szCs w:val="32"/>
          <w:rtl/>
          <w:lang w:bidi="ar-EG"/>
        </w:rPr>
      </w:pPr>
      <w:r>
        <w:rPr>
          <w:rFonts w:asciiTheme="minorBidi" w:hAnsiTheme="minorBidi"/>
          <w:sz w:val="32"/>
          <w:szCs w:val="32"/>
          <w:rtl/>
          <w:lang w:bidi="ar-EG"/>
        </w:rPr>
        <w:t xml:space="preserve">    ومن حيث إنه عن المخالفة المنسوبة للمحال السادس/ محمود إسماعيل عبداللطيف خير الله, بصفته نائب رئيس تحرير مجلة الإذاعة والتليفزيون, والتي تتمثل في قيامه بتاريخ 17/11/2014 بكتابة تصريحات عبر موقع </w:t>
      </w:r>
      <w:r>
        <w:rPr>
          <w:rFonts w:asciiTheme="minorBidi" w:hAnsiTheme="minorBidi"/>
          <w:color w:val="FF0000"/>
          <w:sz w:val="32"/>
          <w:szCs w:val="32"/>
          <w:rtl/>
          <w:lang w:bidi="ar-EG"/>
        </w:rPr>
        <w:t>"البوابة نيوز"</w:t>
      </w:r>
      <w:r>
        <w:rPr>
          <w:rFonts w:asciiTheme="minorBidi" w:hAnsiTheme="minorBidi"/>
          <w:sz w:val="32"/>
          <w:szCs w:val="32"/>
          <w:rtl/>
          <w:lang w:bidi="ar-EG"/>
        </w:rPr>
        <w:t xml:space="preserve"> تتضمن اتهام لرئيس اتحاد الإذاعة والتليفزيون لمحاباته بعض العاملين بالاتحاد ومخالفته اللوائح والقوانين, بما يمثل عدم احترام لرؤسائه وعدم مراعاة اللياقة في معاملتهم, فقد طالعت المحكمة التحققات التي أجريت مع المحال في هذا الشأن, وتبين لها إقرار المحال بهذه الواقعة, إلا أنه دفع بسبق التحقيق معه بشأنها بمعرفة إدارة الشئون القانونية بالمجلة, وأنه تم مجازاته بسببها بخصم خمسة أيام من راتبه, وقدم المحال إلى النيابة صورة من مذكرة التصرف في التحقيق المشار </w:t>
      </w:r>
      <w:r>
        <w:rPr>
          <w:rFonts w:asciiTheme="minorBidi" w:hAnsiTheme="minorBidi"/>
          <w:sz w:val="32"/>
          <w:szCs w:val="32"/>
          <w:rtl/>
          <w:lang w:bidi="ar-EG"/>
        </w:rPr>
        <w:lastRenderedPageBreak/>
        <w:t>إليه, وكذا صورة من قرار الجزاء رقم (1295) لسنة 2014 الصادر بحقه بتاريخ 29/10/2014, والذي تبين للمحكمة من مطالعته أنه صدر بمجازاة الطاعن بخصم خمسة أيام من راتبه لقيامه بنشر بعض الإساءات والاتهامات في حق رئيس مجلس إدارة مجلة الإذاعة والتليفزيون ورئيس تحريرها وكذا نائب رئيس تحرير المجلة على موقع التواصل الاجتماعي (فيس بوك).</w:t>
      </w:r>
    </w:p>
    <w:p w14:paraId="3A284CCD" w14:textId="77777777" w:rsidR="00436E5B" w:rsidRDefault="00436E5B" w:rsidP="00B5199B">
      <w:pPr>
        <w:bidi/>
        <w:spacing w:after="240"/>
        <w:jc w:val="lowKashida"/>
        <w:rPr>
          <w:rFonts w:asciiTheme="minorBidi" w:hAnsiTheme="minorBidi"/>
          <w:color w:val="000000"/>
          <w:sz w:val="32"/>
          <w:szCs w:val="32"/>
          <w:rtl/>
          <w:lang w:bidi="ar-EG"/>
        </w:rPr>
      </w:pPr>
      <w:r>
        <w:rPr>
          <w:rFonts w:asciiTheme="minorBidi" w:hAnsiTheme="minorBidi"/>
          <w:sz w:val="32"/>
          <w:szCs w:val="32"/>
          <w:rtl/>
          <w:lang w:bidi="ar-EG"/>
        </w:rPr>
        <w:t xml:space="preserve">       ومن حيث إنه لما كان ما تقدم وكانت جهة التحقيق لم تقم بتفنيد دفاع المحال في هذا الخصوص من خلال التأكد مما إذا كان قرار الجزاء الصادر بحقه في هذا الشأن, والذي قدمه بالتحقيقات, يتعلق بذات الواقعة محل التحقيق الماثل من عدمه, ومن ثم إعادة مواجهته بما يسفر عنه ذلك, وكان </w:t>
      </w:r>
      <w:r>
        <w:rPr>
          <w:rFonts w:asciiTheme="minorBidi" w:hAnsiTheme="minorBidi"/>
          <w:color w:val="000000"/>
          <w:sz w:val="32"/>
          <w:szCs w:val="32"/>
          <w:rtl/>
          <w:lang w:bidi="ar-EG"/>
        </w:rPr>
        <w:t>من بين ضمانات التحقيق أن يتم تحقيق ما يبديه المتهم من أوجه دفاع وتفنيدها ومن ثم إعادة مواجهته بما يسفر عنه تحقيق دفاعه من بطلان أسانيده وأدلته وبغير هذا لا يمكن الوصول إلي الحقيقة من خلال تحقيق مستكمل الأركان, بما يغدو معه التحقيق في هذه الواقعة – والحال كذلك – قد وقع باطلاً لا يمكن أن يرتب أثراً</w:t>
      </w:r>
      <w:r>
        <w:rPr>
          <w:rFonts w:asciiTheme="minorBidi" w:hAnsiTheme="minorBidi"/>
          <w:sz w:val="32"/>
          <w:szCs w:val="32"/>
          <w:rtl/>
          <w:lang w:bidi="ar-EG"/>
        </w:rPr>
        <w:t>,</w:t>
      </w:r>
      <w:r>
        <w:rPr>
          <w:rFonts w:asciiTheme="minorBidi" w:hAnsiTheme="minorBidi"/>
          <w:color w:val="000000" w:themeColor="text1"/>
          <w:sz w:val="32"/>
          <w:szCs w:val="32"/>
          <w:rtl/>
          <w:lang w:bidi="ar-EG"/>
        </w:rPr>
        <w:t xml:space="preserve"> </w:t>
      </w:r>
      <w:r>
        <w:rPr>
          <w:rFonts w:asciiTheme="minorBidi" w:hAnsiTheme="minorBidi"/>
          <w:color w:val="000000"/>
          <w:sz w:val="32"/>
          <w:szCs w:val="32"/>
          <w:rtl/>
          <w:lang w:bidi="ar-EG"/>
        </w:rPr>
        <w:t>بما لا مناص معه والحال كذلك من القضاء ببراءة المحال من شبهة ارتكاب المخالفة المنسوبة إليه.</w:t>
      </w:r>
    </w:p>
    <w:p w14:paraId="37171C68" w14:textId="77777777" w:rsidR="00436E5B" w:rsidRPr="00436E5B" w:rsidRDefault="00436E5B" w:rsidP="00B5199B">
      <w:pPr>
        <w:bidi/>
        <w:spacing w:after="240"/>
        <w:jc w:val="center"/>
        <w:rPr>
          <w:rFonts w:asciiTheme="minorBidi" w:hAnsiTheme="minorBidi"/>
          <w:b/>
          <w:bCs/>
          <w:color w:val="000000"/>
          <w:sz w:val="32"/>
          <w:szCs w:val="32"/>
          <w:u w:val="single"/>
          <w:rtl/>
          <w:lang w:bidi="ar-EG"/>
        </w:rPr>
      </w:pPr>
      <w:r w:rsidRPr="00436E5B">
        <w:rPr>
          <w:rFonts w:asciiTheme="minorBidi" w:hAnsiTheme="minorBidi"/>
          <w:b/>
          <w:bCs/>
          <w:color w:val="000000"/>
          <w:sz w:val="32"/>
          <w:szCs w:val="32"/>
          <w:u w:val="single"/>
          <w:rtl/>
          <w:lang w:bidi="ar-EG"/>
        </w:rPr>
        <w:t>فلهذه الأسباب</w:t>
      </w:r>
    </w:p>
    <w:p w14:paraId="0CA983A6" w14:textId="77777777" w:rsidR="00436E5B" w:rsidRDefault="00436E5B" w:rsidP="00B5199B">
      <w:pPr>
        <w:bidi/>
        <w:spacing w:after="240"/>
        <w:jc w:val="both"/>
        <w:rPr>
          <w:rFonts w:asciiTheme="minorBidi" w:hAnsiTheme="minorBidi"/>
          <w:color w:val="000000"/>
          <w:sz w:val="32"/>
          <w:szCs w:val="32"/>
          <w:rtl/>
          <w:lang w:bidi="ar-EG"/>
        </w:rPr>
      </w:pPr>
      <w:r>
        <w:rPr>
          <w:rFonts w:asciiTheme="minorBidi" w:hAnsiTheme="minorBidi"/>
          <w:color w:val="000000"/>
          <w:sz w:val="32"/>
          <w:szCs w:val="32"/>
          <w:u w:val="single"/>
          <w:rtl/>
          <w:lang w:bidi="ar-EG"/>
        </w:rPr>
        <w:t xml:space="preserve">   حكمت المحكمة</w:t>
      </w:r>
      <w:r>
        <w:rPr>
          <w:rFonts w:asciiTheme="minorBidi" w:hAnsiTheme="minorBidi"/>
          <w:color w:val="000000"/>
          <w:sz w:val="32"/>
          <w:szCs w:val="32"/>
          <w:rtl/>
          <w:lang w:bidi="ar-EG"/>
        </w:rPr>
        <w:t xml:space="preserve">: </w:t>
      </w:r>
    </w:p>
    <w:p w14:paraId="5E2C1DD1" w14:textId="77777777" w:rsidR="00436E5B" w:rsidRDefault="00436E5B" w:rsidP="00B5199B">
      <w:pPr>
        <w:bidi/>
        <w:spacing w:after="240"/>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      ببراءة كل من :- المحالة الأولى/ </w:t>
      </w:r>
      <w:r>
        <w:rPr>
          <w:rFonts w:asciiTheme="minorBidi" w:hAnsiTheme="minorBidi"/>
          <w:sz w:val="32"/>
          <w:szCs w:val="32"/>
          <w:rtl/>
          <w:lang w:bidi="ar-EG"/>
        </w:rPr>
        <w:t>عايدة حسن محمد محسب</w:t>
      </w:r>
      <w:r>
        <w:rPr>
          <w:rFonts w:asciiTheme="minorBidi" w:hAnsiTheme="minorBidi"/>
          <w:color w:val="000000"/>
          <w:sz w:val="32"/>
          <w:szCs w:val="32"/>
          <w:rtl/>
          <w:lang w:bidi="ar-EG"/>
        </w:rPr>
        <w:t xml:space="preserve">, والمحالة الثانية/ </w:t>
      </w:r>
      <w:r>
        <w:rPr>
          <w:rFonts w:asciiTheme="minorBidi" w:hAnsiTheme="minorBidi"/>
          <w:sz w:val="32"/>
          <w:szCs w:val="32"/>
          <w:rtl/>
          <w:lang w:bidi="ar-EG"/>
        </w:rPr>
        <w:t>ولاء فصيح أحمد حجاج</w:t>
      </w:r>
      <w:r>
        <w:rPr>
          <w:rFonts w:asciiTheme="minorBidi" w:hAnsiTheme="minorBidi"/>
          <w:color w:val="000000"/>
          <w:sz w:val="32"/>
          <w:szCs w:val="32"/>
          <w:rtl/>
          <w:lang w:bidi="ar-EG"/>
        </w:rPr>
        <w:t xml:space="preserve">, والمحالة الثالثة/ </w:t>
      </w:r>
      <w:r>
        <w:rPr>
          <w:rFonts w:asciiTheme="minorBidi" w:hAnsiTheme="minorBidi"/>
          <w:sz w:val="32"/>
          <w:szCs w:val="32"/>
          <w:rtl/>
          <w:lang w:bidi="ar-EG"/>
        </w:rPr>
        <w:t>غادة عبدالمنعم حسن</w:t>
      </w:r>
      <w:r>
        <w:rPr>
          <w:rFonts w:asciiTheme="minorBidi" w:hAnsiTheme="minorBidi"/>
          <w:color w:val="000000"/>
          <w:sz w:val="32"/>
          <w:szCs w:val="32"/>
          <w:rtl/>
          <w:lang w:bidi="ar-EG"/>
        </w:rPr>
        <w:t xml:space="preserve">, والمحال الرابع/ </w:t>
      </w:r>
      <w:r>
        <w:rPr>
          <w:rFonts w:asciiTheme="minorBidi" w:hAnsiTheme="minorBidi"/>
          <w:sz w:val="32"/>
          <w:szCs w:val="32"/>
          <w:rtl/>
          <w:lang w:bidi="ar-EG"/>
        </w:rPr>
        <w:t>صلاح توفیق عبداللاه</w:t>
      </w:r>
      <w:r>
        <w:rPr>
          <w:rFonts w:asciiTheme="minorBidi" w:hAnsiTheme="minorBidi"/>
          <w:color w:val="000000"/>
          <w:sz w:val="32"/>
          <w:szCs w:val="32"/>
          <w:rtl/>
          <w:lang w:bidi="ar-EG"/>
        </w:rPr>
        <w:t xml:space="preserve">, والمحال الخامس/ </w:t>
      </w:r>
      <w:r>
        <w:rPr>
          <w:rFonts w:asciiTheme="minorBidi" w:hAnsiTheme="minorBidi"/>
          <w:sz w:val="32"/>
          <w:szCs w:val="32"/>
          <w:rtl/>
          <w:lang w:bidi="ar-EG"/>
        </w:rPr>
        <w:t>محمد أحمد أحمد الغيطي</w:t>
      </w:r>
      <w:r>
        <w:rPr>
          <w:rFonts w:asciiTheme="minorBidi" w:hAnsiTheme="minorBidi"/>
          <w:color w:val="000000"/>
          <w:sz w:val="32"/>
          <w:szCs w:val="32"/>
          <w:rtl/>
          <w:lang w:bidi="ar-EG"/>
        </w:rPr>
        <w:t xml:space="preserve">, والمحال السادس/ </w:t>
      </w:r>
      <w:r>
        <w:rPr>
          <w:rFonts w:asciiTheme="minorBidi" w:hAnsiTheme="minorBidi"/>
          <w:sz w:val="32"/>
          <w:szCs w:val="32"/>
          <w:rtl/>
          <w:lang w:bidi="ar-EG"/>
        </w:rPr>
        <w:t>محمود إسماعيل عبداللطيف خير الله</w:t>
      </w:r>
      <w:r>
        <w:rPr>
          <w:rFonts w:asciiTheme="minorBidi" w:hAnsiTheme="minorBidi"/>
          <w:color w:val="000000"/>
          <w:sz w:val="32"/>
          <w:szCs w:val="32"/>
          <w:rtl/>
          <w:lang w:bidi="ar-EG"/>
        </w:rPr>
        <w:t xml:space="preserve">, من المحالفات المنسوبة إليهم. </w:t>
      </w:r>
    </w:p>
    <w:p w14:paraId="5D80C2B3"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2FBA3CD2" w14:textId="77777777" w:rsidR="00DA36EF" w:rsidRDefault="00DA36EF" w:rsidP="00DA36EF">
      <w:pPr>
        <w:bidi/>
        <w:jc w:val="center"/>
        <w:rPr>
          <w:rFonts w:ascii="Arial" w:hAnsi="Arial" w:cs="Arial"/>
          <w:b/>
          <w:bCs/>
          <w:sz w:val="16"/>
          <w:szCs w:val="16"/>
          <w:rtl/>
        </w:rPr>
      </w:pPr>
    </w:p>
    <w:p w14:paraId="16BC1E6E" w14:textId="77777777" w:rsidR="00DA36EF" w:rsidRDefault="00DA36EF" w:rsidP="00DA36EF">
      <w:pPr>
        <w:bidi/>
        <w:jc w:val="center"/>
        <w:rPr>
          <w:rFonts w:ascii="Arial" w:hAnsi="Arial" w:cs="Arial"/>
          <w:b/>
          <w:bCs/>
          <w:sz w:val="16"/>
          <w:szCs w:val="16"/>
          <w:rtl/>
        </w:rPr>
      </w:pPr>
    </w:p>
    <w:p w14:paraId="49E82924" w14:textId="77777777" w:rsidR="00DA36EF" w:rsidRDefault="00DA36EF" w:rsidP="00DA36EF">
      <w:pPr>
        <w:bidi/>
        <w:jc w:val="center"/>
        <w:rPr>
          <w:rFonts w:ascii="Arial" w:hAnsi="Arial" w:cs="Arial"/>
          <w:b/>
          <w:bCs/>
          <w:sz w:val="16"/>
          <w:szCs w:val="16"/>
          <w:rtl/>
        </w:rPr>
      </w:pPr>
    </w:p>
    <w:p w14:paraId="6A7F3958" w14:textId="77777777" w:rsidR="00DA36EF" w:rsidRDefault="00DA36EF" w:rsidP="00DA36EF">
      <w:pPr>
        <w:bidi/>
        <w:jc w:val="center"/>
        <w:rPr>
          <w:rFonts w:ascii="Arial" w:hAnsi="Arial" w:cs="Arial"/>
          <w:b/>
          <w:bCs/>
          <w:sz w:val="16"/>
          <w:szCs w:val="16"/>
          <w:rtl/>
        </w:rPr>
      </w:pPr>
    </w:p>
    <w:p w14:paraId="2DC7DB0F" w14:textId="77777777" w:rsidR="00DA36EF" w:rsidRDefault="00DA36EF" w:rsidP="00DA36EF">
      <w:pPr>
        <w:bidi/>
        <w:jc w:val="center"/>
        <w:rPr>
          <w:rFonts w:ascii="Arial" w:hAnsi="Arial" w:cs="Arial"/>
          <w:b/>
          <w:bCs/>
          <w:sz w:val="16"/>
          <w:szCs w:val="16"/>
          <w:rtl/>
        </w:rPr>
      </w:pPr>
    </w:p>
    <w:p w14:paraId="672B8C1D" w14:textId="77777777" w:rsidR="00DA36EF" w:rsidRDefault="00DA36EF" w:rsidP="00DA36EF">
      <w:pPr>
        <w:bidi/>
        <w:jc w:val="center"/>
        <w:rPr>
          <w:rFonts w:ascii="Arial" w:hAnsi="Arial" w:cs="Arial"/>
          <w:b/>
          <w:bCs/>
          <w:sz w:val="16"/>
          <w:szCs w:val="16"/>
          <w:rtl/>
        </w:rPr>
      </w:pPr>
    </w:p>
    <w:p w14:paraId="0CAB212F" w14:textId="77777777" w:rsidR="00DA36EF" w:rsidRDefault="00DA36EF" w:rsidP="00DA36EF">
      <w:pPr>
        <w:bidi/>
        <w:jc w:val="center"/>
        <w:rPr>
          <w:rFonts w:ascii="Arial" w:hAnsi="Arial" w:cs="Arial"/>
          <w:b/>
          <w:bCs/>
          <w:sz w:val="16"/>
          <w:szCs w:val="16"/>
          <w:rtl/>
        </w:rPr>
      </w:pPr>
    </w:p>
    <w:p w14:paraId="1C24CA17" w14:textId="77777777" w:rsidR="00DA36EF" w:rsidRDefault="00DA36EF" w:rsidP="00DA36EF">
      <w:pPr>
        <w:bidi/>
        <w:jc w:val="center"/>
        <w:rPr>
          <w:rFonts w:ascii="Arial" w:hAnsi="Arial" w:cs="Arial"/>
          <w:b/>
          <w:bCs/>
          <w:sz w:val="16"/>
          <w:szCs w:val="16"/>
          <w:rtl/>
        </w:rPr>
      </w:pPr>
    </w:p>
    <w:p w14:paraId="4A6988CE"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DB2265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4676D4B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FAD4" w14:textId="77777777" w:rsidR="002D57AE" w:rsidRDefault="002D57AE">
      <w:r>
        <w:separator/>
      </w:r>
    </w:p>
  </w:endnote>
  <w:endnote w:type="continuationSeparator" w:id="0">
    <w:p w14:paraId="2BDBEAAE" w14:textId="77777777" w:rsidR="002D57AE" w:rsidRDefault="002D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098" w14:textId="77777777" w:rsidR="008B0E02" w:rsidRDefault="00375CF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0F1DAE19"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0DA0" w14:textId="77777777" w:rsidR="008B0E02" w:rsidRDefault="00375CF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E755D">
      <w:rPr>
        <w:rStyle w:val="a5"/>
        <w:noProof/>
      </w:rPr>
      <w:t>2</w:t>
    </w:r>
    <w:r>
      <w:rPr>
        <w:rStyle w:val="a5"/>
      </w:rPr>
      <w:fldChar w:fldCharType="end"/>
    </w:r>
  </w:p>
  <w:p w14:paraId="78D09C2C"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63F"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47AD" w14:textId="77777777" w:rsidR="002D57AE" w:rsidRDefault="002D57AE">
      <w:r>
        <w:separator/>
      </w:r>
    </w:p>
  </w:footnote>
  <w:footnote w:type="continuationSeparator" w:id="0">
    <w:p w14:paraId="12568F06" w14:textId="77777777" w:rsidR="002D57AE" w:rsidRDefault="002D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5544"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07FCC820" wp14:editId="079615F2">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14:paraId="08ACB78C"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36E5B">
          <w:rPr>
            <w:rFonts w:hint="cs"/>
            <w:sz w:val="28"/>
            <w:szCs w:val="28"/>
            <w:u w:val="single"/>
            <w:rtl/>
            <w:lang w:bidi="ar-EG"/>
          </w:rPr>
          <w:t xml:space="preserve">في الدعوي رقم 118 لسنة 62 ق. </w:t>
        </w:r>
      </w:sdtContent>
    </w:sdt>
  </w:p>
  <w:p w14:paraId="650A1EEB"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39C6" w14:textId="77777777" w:rsidR="008B0E02" w:rsidRDefault="008B0E02">
    <w:pPr>
      <w:pStyle w:val="a3"/>
    </w:pPr>
    <w:r>
      <w:rPr>
        <w:noProof/>
      </w:rPr>
      <w:drawing>
        <wp:anchor distT="0" distB="0" distL="114300" distR="114300" simplePos="0" relativeHeight="251659264" behindDoc="0" locked="0" layoutInCell="1" allowOverlap="1" wp14:anchorId="23D49FBC" wp14:editId="2F00B954">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EE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7AE"/>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5096D"/>
  <w15:docId w15:val="{A4BBF6C3-4AFA-45C7-9EE9-E759FE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1F3A"/>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2350</Words>
  <Characters>13401</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53</cp:revision>
  <cp:lastPrinted>2019-10-26T08:39:00Z</cp:lastPrinted>
  <dcterms:created xsi:type="dcterms:W3CDTF">2019-09-24T23:17:00Z</dcterms:created>
  <dcterms:modified xsi:type="dcterms:W3CDTF">2022-03-22T10:03:00Z</dcterms:modified>
  <cp:contentStatus>في الدعوي رقم 118 لسنة 62 ق. </cp:contentStatus>
</cp:coreProperties>
</file>