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44D1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C44D1B">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44D1B">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56B2C">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656B2C">
            <w:rPr>
              <w:rFonts w:ascii="Arial" w:hAnsi="Arial" w:cs="Arial" w:hint="cs"/>
              <w:sz w:val="32"/>
              <w:szCs w:val="32"/>
              <w:rtl/>
              <w:lang w:bidi="ar-EG"/>
            </w:rPr>
            <w:t>50</w:t>
          </w:r>
          <w:r>
            <w:rPr>
              <w:rFonts w:ascii="Arial" w:hAnsi="Arial" w:cs="Arial" w:hint="cs"/>
              <w:sz w:val="32"/>
              <w:szCs w:val="32"/>
              <w:rtl/>
              <w:lang w:bidi="ar-EG"/>
            </w:rPr>
            <w:t xml:space="preserve"> لسنة </w:t>
          </w:r>
          <w:r w:rsidR="00656B2C">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656B2C" w:rsidRPr="00656B2C" w:rsidRDefault="000B5AA0" w:rsidP="00656B2C">
      <w:pPr>
        <w:bidi/>
        <w:ind w:left="-1"/>
        <w:jc w:val="center"/>
        <w:outlineLvl w:val="0"/>
        <w:rPr>
          <w:rFonts w:asciiTheme="minorBidi" w:hAnsiTheme="minorBidi" w:hint="cs"/>
          <w:b/>
          <w:bCs/>
          <w:sz w:val="32"/>
          <w:szCs w:val="32"/>
          <w:rtl/>
          <w:lang w:bidi="ar-EG"/>
        </w:rPr>
      </w:pPr>
      <w:r w:rsidRPr="00656B2C">
        <w:rPr>
          <w:rFonts w:asciiTheme="minorBidi" w:hAnsiTheme="minorBidi"/>
          <w:b/>
          <w:bCs/>
          <w:sz w:val="32"/>
          <w:szCs w:val="32"/>
          <w:rtl/>
          <w:lang w:bidi="ar-EG"/>
        </w:rPr>
        <w:t>المقامة من:</w:t>
      </w:r>
    </w:p>
    <w:p w:rsidR="000B5AA0" w:rsidRDefault="000B5AA0" w:rsidP="00656B2C">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0B5AA0" w:rsidRPr="00656B2C" w:rsidRDefault="000B5AA0" w:rsidP="00656B2C">
      <w:pPr>
        <w:bidi/>
        <w:ind w:left="-1"/>
        <w:jc w:val="center"/>
        <w:outlineLvl w:val="0"/>
        <w:rPr>
          <w:rFonts w:asciiTheme="minorBidi" w:hAnsiTheme="minorBidi"/>
          <w:b/>
          <w:bCs/>
          <w:sz w:val="32"/>
          <w:szCs w:val="32"/>
          <w:rtl/>
        </w:rPr>
      </w:pPr>
      <w:r w:rsidRPr="00656B2C">
        <w:rPr>
          <w:rFonts w:asciiTheme="minorBidi" w:hAnsiTheme="minorBidi"/>
          <w:b/>
          <w:bCs/>
          <w:sz w:val="32"/>
          <w:szCs w:val="32"/>
          <w:rtl/>
          <w:lang w:bidi="ar-EG"/>
        </w:rPr>
        <w:t>ضــــــــــــــــد</w:t>
      </w:r>
      <w:r w:rsidRPr="00656B2C">
        <w:rPr>
          <w:rFonts w:asciiTheme="minorBidi" w:hAnsiTheme="minorBidi"/>
          <w:b/>
          <w:bCs/>
          <w:sz w:val="32"/>
          <w:szCs w:val="32"/>
          <w:rtl/>
        </w:rPr>
        <w:t>:</w:t>
      </w:r>
    </w:p>
    <w:p w:rsidR="000B5AA0" w:rsidRDefault="000B5AA0" w:rsidP="00656B2C">
      <w:pPr>
        <w:bidi/>
        <w:ind w:left="-1"/>
        <w:jc w:val="center"/>
        <w:outlineLvl w:val="0"/>
        <w:rPr>
          <w:rFonts w:asciiTheme="minorBidi" w:hAnsiTheme="minorBidi"/>
          <w:sz w:val="32"/>
          <w:szCs w:val="32"/>
          <w:rtl/>
        </w:rPr>
      </w:pPr>
      <w:r>
        <w:rPr>
          <w:rFonts w:asciiTheme="minorBidi" w:hAnsiTheme="minorBidi"/>
          <w:sz w:val="32"/>
          <w:szCs w:val="32"/>
          <w:rtl/>
        </w:rPr>
        <w:t>1- إبراهيم محمد هاشم إبراهيم.</w:t>
      </w:r>
    </w:p>
    <w:p w:rsidR="000B5AA0" w:rsidRDefault="000B5AA0" w:rsidP="00656B2C">
      <w:pPr>
        <w:bidi/>
        <w:ind w:left="-1"/>
        <w:jc w:val="center"/>
        <w:outlineLvl w:val="0"/>
        <w:rPr>
          <w:rFonts w:asciiTheme="minorBidi" w:hAnsiTheme="minorBidi"/>
          <w:sz w:val="32"/>
          <w:szCs w:val="32"/>
          <w:rtl/>
        </w:rPr>
      </w:pPr>
      <w:r>
        <w:rPr>
          <w:rFonts w:asciiTheme="minorBidi" w:hAnsiTheme="minorBidi"/>
          <w:sz w:val="32"/>
          <w:szCs w:val="32"/>
          <w:rtl/>
        </w:rPr>
        <w:t>2- أشرف محمد السعيد عبد الحليم.</w:t>
      </w:r>
    </w:p>
    <w:p w:rsidR="000B5AA0" w:rsidRDefault="000B5AA0" w:rsidP="000B5AA0">
      <w:pPr>
        <w:bidi/>
        <w:ind w:left="-1"/>
        <w:jc w:val="both"/>
        <w:outlineLvl w:val="0"/>
        <w:rPr>
          <w:rFonts w:asciiTheme="minorBidi" w:hAnsiTheme="minorBidi"/>
          <w:sz w:val="32"/>
          <w:szCs w:val="32"/>
          <w:rtl/>
        </w:rPr>
      </w:pPr>
      <w:r>
        <w:rPr>
          <w:rFonts w:asciiTheme="minorBidi" w:hAnsiTheme="minorBidi"/>
          <w:sz w:val="32"/>
          <w:szCs w:val="32"/>
          <w:rtl/>
        </w:rPr>
        <w:t xml:space="preserve">         </w:t>
      </w:r>
    </w:p>
    <w:p w:rsidR="000B5AA0" w:rsidRPr="00656B2C" w:rsidRDefault="000B5AA0" w:rsidP="00656B2C">
      <w:pPr>
        <w:overflowPunct w:val="0"/>
        <w:autoSpaceDE w:val="0"/>
        <w:autoSpaceDN w:val="0"/>
        <w:bidi/>
        <w:adjustRightInd w:val="0"/>
        <w:ind w:left="-1" w:hanging="23"/>
        <w:textAlignment w:val="baseline"/>
        <w:rPr>
          <w:rFonts w:asciiTheme="minorBidi" w:hAnsiTheme="minorBidi"/>
          <w:b/>
          <w:bCs/>
          <w:sz w:val="32"/>
          <w:szCs w:val="32"/>
          <w:rtl/>
        </w:rPr>
      </w:pPr>
      <w:r w:rsidRPr="00656B2C">
        <w:rPr>
          <w:rFonts w:asciiTheme="minorBidi" w:hAnsiTheme="minorBidi"/>
          <w:b/>
          <w:bCs/>
          <w:sz w:val="32"/>
          <w:szCs w:val="32"/>
          <w:u w:val="single"/>
          <w:rtl/>
        </w:rPr>
        <w:t>الوقائع</w:t>
      </w: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24/3/2022 مشتملة على ملف تحقيقات النيابة الإدارية في القضية رقم (224) لسنة 2021 تفتيش فني، وتقرير اتهام ضد كل من: -</w:t>
      </w:r>
    </w:p>
    <w:p w:rsidR="000B5AA0" w:rsidRDefault="000B5AA0" w:rsidP="00656B2C">
      <w:pPr>
        <w:bidi/>
        <w:ind w:left="-1" w:firstLine="544"/>
        <w:jc w:val="both"/>
        <w:outlineLvl w:val="0"/>
        <w:rPr>
          <w:rFonts w:asciiTheme="minorBidi" w:hAnsiTheme="minorBidi"/>
          <w:sz w:val="32"/>
          <w:szCs w:val="32"/>
          <w:rtl/>
        </w:rPr>
      </w:pPr>
      <w:r>
        <w:rPr>
          <w:rFonts w:asciiTheme="minorBidi" w:hAnsiTheme="minorBidi"/>
          <w:sz w:val="32"/>
          <w:szCs w:val="32"/>
          <w:rtl/>
        </w:rPr>
        <w:t xml:space="preserve">1- إبراهيم محمد هاشم إبراهيم ، مدير عام الإدارة العامة للقضايا بالقطاع القانوني بالشركة القابضة للتشييد والتعمير. </w:t>
      </w:r>
    </w:p>
    <w:p w:rsidR="000B5AA0" w:rsidRDefault="000B5AA0" w:rsidP="00656B2C">
      <w:pPr>
        <w:bidi/>
        <w:ind w:left="-1" w:firstLine="544"/>
        <w:jc w:val="both"/>
        <w:outlineLvl w:val="0"/>
        <w:rPr>
          <w:rFonts w:asciiTheme="minorBidi" w:hAnsiTheme="minorBidi"/>
          <w:sz w:val="32"/>
          <w:szCs w:val="32"/>
          <w:rtl/>
        </w:rPr>
      </w:pPr>
      <w:r>
        <w:rPr>
          <w:rFonts w:asciiTheme="minorBidi" w:hAnsiTheme="minorBidi"/>
          <w:sz w:val="32"/>
          <w:szCs w:val="32"/>
          <w:rtl/>
        </w:rPr>
        <w:t xml:space="preserve"> 2- أشرف محمد السعيد عبد الحليم ، مدير عام المتابعة القانونية للشركات التابعة بالشركة القابضة للتشييد والتعمير.</w:t>
      </w: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p>
    <w:p w:rsidR="000B5AA0" w:rsidRDefault="000B5AA0" w:rsidP="00656B2C">
      <w:pPr>
        <w:bidi/>
        <w:ind w:left="-1" w:firstLine="544"/>
        <w:jc w:val="both"/>
        <w:rPr>
          <w:rFonts w:asciiTheme="minorBidi" w:hAnsiTheme="minorBidi" w:hint="cs"/>
          <w:sz w:val="32"/>
          <w:szCs w:val="32"/>
          <w:rtl/>
          <w:lang w:bidi="ar-EG"/>
        </w:rPr>
      </w:pPr>
      <w:r>
        <w:rPr>
          <w:rFonts w:asciiTheme="minorBidi" w:hAnsiTheme="minorBidi"/>
          <w:sz w:val="32"/>
          <w:szCs w:val="32"/>
          <w:rtl/>
          <w:lang w:bidi="ar-EG"/>
        </w:rPr>
        <w:t>لأنهما في غضون عام 2017 وحتى 18/1/2021 وبوصفهما السابق وبدائرة عملهما لم يؤديا العمل المنوط بهما بدقة، وخالفا القوانين واللوائح المعمول بها، وذلك بأن: -</w:t>
      </w:r>
    </w:p>
    <w:p w:rsidR="00656B2C" w:rsidRDefault="00656B2C" w:rsidP="00656B2C">
      <w:pPr>
        <w:bidi/>
        <w:ind w:left="-1" w:firstLine="544"/>
        <w:jc w:val="both"/>
        <w:rPr>
          <w:rFonts w:asciiTheme="minorBidi" w:hAnsiTheme="minorBidi"/>
          <w:sz w:val="32"/>
          <w:szCs w:val="32"/>
          <w:rtl/>
          <w:lang w:bidi="ar-EG"/>
        </w:rPr>
      </w:pPr>
    </w:p>
    <w:p w:rsidR="000B5AA0" w:rsidRPr="00656B2C" w:rsidRDefault="000B5AA0" w:rsidP="00656B2C">
      <w:pPr>
        <w:bidi/>
        <w:ind w:left="-1" w:firstLine="544"/>
        <w:jc w:val="both"/>
        <w:rPr>
          <w:rFonts w:asciiTheme="minorBidi" w:hAnsiTheme="minorBidi"/>
          <w:b/>
          <w:bCs/>
          <w:sz w:val="32"/>
          <w:szCs w:val="32"/>
          <w:rtl/>
          <w:lang w:bidi="ar-EG"/>
        </w:rPr>
      </w:pPr>
      <w:r w:rsidRPr="00656B2C">
        <w:rPr>
          <w:rFonts w:asciiTheme="minorBidi" w:hAnsiTheme="minorBidi"/>
          <w:b/>
          <w:bCs/>
          <w:sz w:val="32"/>
          <w:szCs w:val="32"/>
          <w:rtl/>
          <w:lang w:bidi="ar-EG"/>
        </w:rPr>
        <w:t xml:space="preserve">الأول: </w:t>
      </w:r>
    </w:p>
    <w:p w:rsidR="000B5AA0" w:rsidRDefault="000B5AA0" w:rsidP="00656B2C">
      <w:pPr>
        <w:bidi/>
        <w:ind w:left="-1" w:firstLine="544"/>
        <w:jc w:val="both"/>
        <w:rPr>
          <w:rFonts w:asciiTheme="minorBidi" w:hAnsiTheme="minorBidi" w:hint="cs"/>
          <w:sz w:val="32"/>
          <w:szCs w:val="32"/>
          <w:rtl/>
          <w:lang w:bidi="ar-EG"/>
        </w:rPr>
      </w:pPr>
      <w:r>
        <w:rPr>
          <w:rFonts w:asciiTheme="minorBidi" w:hAnsiTheme="minorBidi"/>
          <w:sz w:val="32"/>
          <w:szCs w:val="32"/>
          <w:rtl/>
          <w:lang w:bidi="ar-EG"/>
        </w:rPr>
        <w:t>أهمل في الإشراف والمتابعة لأعمال / سيد سليمان محمد- المحامي بالإدارة مما ترتب عليه ترديه في أداء عمله دون اتخاذ الإجراءات القانونية اللازمة بشأن المطالبة رقم 1760 لسنة 2017/2018 واقترافه للمخالفات محل التحقيق. (وذلك حسب الوارد بتقرير الاتهام)</w:t>
      </w:r>
    </w:p>
    <w:p w:rsidR="00656B2C" w:rsidRDefault="00656B2C" w:rsidP="00656B2C">
      <w:pPr>
        <w:bidi/>
        <w:ind w:left="-1" w:firstLine="544"/>
        <w:jc w:val="both"/>
        <w:rPr>
          <w:rFonts w:asciiTheme="minorBidi" w:hAnsiTheme="minorBidi"/>
          <w:sz w:val="32"/>
          <w:szCs w:val="32"/>
          <w:lang w:bidi="ar-EG"/>
        </w:rPr>
      </w:pPr>
    </w:p>
    <w:p w:rsidR="000B5AA0" w:rsidRPr="00656B2C" w:rsidRDefault="000B5AA0" w:rsidP="00656B2C">
      <w:pPr>
        <w:bidi/>
        <w:ind w:left="-1" w:firstLine="544"/>
        <w:jc w:val="both"/>
        <w:rPr>
          <w:rFonts w:asciiTheme="minorBidi" w:hAnsiTheme="minorBidi"/>
          <w:b/>
          <w:bCs/>
          <w:sz w:val="32"/>
          <w:szCs w:val="32"/>
          <w:rtl/>
          <w:lang w:bidi="ar-EG"/>
        </w:rPr>
      </w:pPr>
      <w:r w:rsidRPr="00656B2C">
        <w:rPr>
          <w:rFonts w:asciiTheme="minorBidi" w:hAnsiTheme="minorBidi"/>
          <w:b/>
          <w:bCs/>
          <w:sz w:val="32"/>
          <w:szCs w:val="32"/>
          <w:rtl/>
          <w:lang w:bidi="ar-EG"/>
        </w:rPr>
        <w:t xml:space="preserve">الثاني: </w:t>
      </w:r>
    </w:p>
    <w:p w:rsidR="000B5AA0" w:rsidRDefault="000B5AA0" w:rsidP="00656B2C">
      <w:pPr>
        <w:bidi/>
        <w:ind w:left="-1" w:firstLine="544"/>
        <w:jc w:val="both"/>
        <w:rPr>
          <w:rFonts w:asciiTheme="minorBidi" w:hAnsiTheme="minorBidi" w:hint="cs"/>
          <w:sz w:val="32"/>
          <w:szCs w:val="32"/>
          <w:rtl/>
          <w:lang w:bidi="ar-EG"/>
        </w:rPr>
      </w:pPr>
      <w:r>
        <w:rPr>
          <w:rFonts w:asciiTheme="minorBidi" w:hAnsiTheme="minorBidi"/>
          <w:sz w:val="32"/>
          <w:szCs w:val="32"/>
          <w:rtl/>
          <w:lang w:bidi="ar-EG"/>
        </w:rPr>
        <w:t>أهمل في الإشراف والمتابعة لأعمال / سيد سليمان محمد- المحامي بالإدارة مما ترتب عليه ترديه في أداء عمله وذلك باقترافه المخالفات محل التحقيق. (وذلك حسب الوارد بتقرير الاتهام)</w:t>
      </w:r>
    </w:p>
    <w:p w:rsidR="000B5AA0" w:rsidRDefault="000B5AA0" w:rsidP="00656B2C">
      <w:pPr>
        <w:bidi/>
        <w:ind w:left="-1" w:firstLine="544"/>
        <w:jc w:val="both"/>
        <w:rPr>
          <w:rFonts w:asciiTheme="minorBidi" w:hAnsiTheme="minorBidi"/>
          <w:sz w:val="32"/>
          <w:szCs w:val="32"/>
          <w:rtl/>
          <w:lang w:bidi="ar-EG"/>
        </w:rPr>
      </w:pP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 xml:space="preserve">وارتأت النيابة الإدارية أن المحالين المذكورين قد ارتكبا المخالفة المالية والإدارية المؤثمة بالمواد 6-9-14-18-19-20-21 من لائحة تنظيم العمل بالإدارات القانونية بالهيئات العامة وشركات القطاع الصادرة بقرار وزير العدل رقم 569 لسنة 1977 والمواد أرقام 21-23-24 من القانون رقم 47 لسنة 1973 بشأن الإدارات القانونية وتعديلاته ، لذا طلبت محاكمتهما تأديبيا عما نُسب إليهما. </w:t>
      </w: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27/4/2022، وبهذه الجلسة حضر المحالان بشخصيهما وقدم المحال الثاني حافظة مستندات طويت على المستندات المعلاة بغلافها ودفع بعدم اختصاص المحكمة ولائيا بنظر الدعوى، وبذات الجلسة </w:t>
      </w:r>
      <w:r>
        <w:rPr>
          <w:rFonts w:asciiTheme="minorBidi" w:hAnsiTheme="minorBidi"/>
          <w:sz w:val="32"/>
          <w:szCs w:val="32"/>
          <w:rtl/>
        </w:rPr>
        <w:t>قررت المحكمة حجز الدعوى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0B5AA0" w:rsidRDefault="000B5AA0" w:rsidP="00656B2C">
      <w:pPr>
        <w:bidi/>
        <w:ind w:left="-1" w:firstLine="544"/>
        <w:jc w:val="both"/>
        <w:outlineLvl w:val="0"/>
        <w:rPr>
          <w:rFonts w:asciiTheme="minorBidi" w:hAnsiTheme="minorBidi"/>
          <w:sz w:val="32"/>
          <w:szCs w:val="32"/>
          <w:u w:val="single"/>
          <w:rtl/>
        </w:rPr>
      </w:pPr>
    </w:p>
    <w:p w:rsidR="000B5AA0" w:rsidRPr="000B5AA0" w:rsidRDefault="000B5AA0" w:rsidP="00656B2C">
      <w:pPr>
        <w:bidi/>
        <w:ind w:left="-1" w:firstLine="544"/>
        <w:jc w:val="center"/>
        <w:outlineLvl w:val="0"/>
        <w:rPr>
          <w:rFonts w:asciiTheme="minorBidi" w:hAnsiTheme="minorBidi"/>
          <w:b/>
          <w:bCs/>
          <w:sz w:val="32"/>
          <w:szCs w:val="32"/>
          <w:u w:val="single"/>
          <w:rtl/>
        </w:rPr>
      </w:pPr>
      <w:r w:rsidRPr="000B5AA0">
        <w:rPr>
          <w:rFonts w:asciiTheme="minorBidi" w:hAnsiTheme="minorBidi"/>
          <w:b/>
          <w:bCs/>
          <w:sz w:val="32"/>
          <w:szCs w:val="32"/>
          <w:u w:val="single"/>
          <w:rtl/>
        </w:rPr>
        <w:t>المحكمة</w:t>
      </w:r>
    </w:p>
    <w:p w:rsidR="000B5AA0" w:rsidRDefault="000B5AA0" w:rsidP="00656B2C">
      <w:pPr>
        <w:bidi/>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0B5AA0" w:rsidRDefault="000B5AA0" w:rsidP="00656B2C">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على المحكمة أن تتصدى له من تلقاء نفسها ولو لم يثره أحد من الخصوم.</w:t>
      </w:r>
    </w:p>
    <w:p w:rsidR="000B5AA0" w:rsidRDefault="000B5AA0" w:rsidP="00656B2C">
      <w:pPr>
        <w:pStyle w:val="aa"/>
        <w:ind w:left="-1" w:firstLine="544"/>
        <w:jc w:val="both"/>
        <w:rPr>
          <w:rFonts w:asciiTheme="minorBidi" w:hAnsiTheme="minorBidi"/>
          <w:sz w:val="32"/>
          <w:szCs w:val="32"/>
          <w:rtl/>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 القضية رقم "5" لسنة 14 قضائية "تنازع" – جلسة 6/2/1993).</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إنه 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 xml:space="preserve">وبصدور قانون قطاع الأعمال بالقانون رقم (203) لسنة 1991 اصطحب المشرع إلى حين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 وأبقى العمل به سواء ورد النص عليها في مواد الإصدار أو مواد القانون نفسه. ومن ذلك ما نصت عليه المادة (44) من قانون قطاع الأعمال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w:t>
      </w:r>
      <w:r>
        <w:rPr>
          <w:rFonts w:asciiTheme="minorBidi" w:hAnsiTheme="minorBidi" w:hint="cs"/>
          <w:sz w:val="32"/>
          <w:szCs w:val="32"/>
          <w:rtl/>
          <w:lang w:bidi="ar-EG"/>
        </w:rPr>
        <w:t>تأديبهم</w:t>
      </w:r>
      <w:r>
        <w:rPr>
          <w:rFonts w:asciiTheme="minorBidi" w:hAnsiTheme="minorBidi"/>
          <w:sz w:val="32"/>
          <w:szCs w:val="32"/>
          <w:rtl/>
          <w:lang w:bidi="ar-EG"/>
        </w:rPr>
        <w:t xml:space="preserve">، أما بالنسبة إلى العاملين بالشركات التابعة فقد أحال المشرع في شأن واجباتهم والتحقيق معهم وتأديبهم إلى أحكام الفصل </w:t>
      </w:r>
      <w:r>
        <w:rPr>
          <w:rFonts w:asciiTheme="minorBidi" w:hAnsiTheme="minorBidi"/>
          <w:sz w:val="32"/>
          <w:szCs w:val="32"/>
          <w:rtl/>
          <w:lang w:bidi="ar-EG"/>
        </w:rPr>
        <w:lastRenderedPageBreak/>
        <w:t>الخامس من الباب الثالث من قانون العمل. (الجمعية العمومية لقسمي الفتوى والتشريع – فتوى رقم 420 بتاريخ 28/5/1995 – جلسة 19/4/1995 – ملف رقم 47/1/189).</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ومن حيث أنه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يسرى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بهم.(المحكمة الإدارية العليا – الطعن رقم 2759 لسنة 48 قضائية عليا – جلسة 21/1/2006).</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 xml:space="preserve">ومن حيث إن اختصاص المحاكم التأديبية بالمنازعات التأديبية للعاملين بالشركات القابضة أصبح يجد </w:t>
      </w:r>
      <w:r>
        <w:rPr>
          <w:rFonts w:asciiTheme="minorBidi" w:hAnsiTheme="minorBidi" w:hint="cs"/>
          <w:sz w:val="32"/>
          <w:szCs w:val="32"/>
          <w:rtl/>
          <w:lang w:bidi="ar-EG"/>
        </w:rPr>
        <w:t>أساسه</w:t>
      </w:r>
      <w:r>
        <w:rPr>
          <w:rFonts w:asciiTheme="minorBidi" w:hAnsiTheme="minorBidi"/>
          <w:sz w:val="32"/>
          <w:szCs w:val="32"/>
          <w:rtl/>
          <w:lang w:bidi="ar-EG"/>
        </w:rPr>
        <w:t xml:space="preserve"> ومصدره فيما نصت عليه المادة (44) من القانون رقم 203 لسنة 1991 المشار إليه من أن "تسرى في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w:t>
      </w:r>
      <w:r>
        <w:rPr>
          <w:rFonts w:asciiTheme="minorBidi" w:hAnsiTheme="minorBidi" w:hint="cs"/>
          <w:sz w:val="32"/>
          <w:szCs w:val="32"/>
          <w:rtl/>
          <w:lang w:bidi="ar-EG"/>
        </w:rPr>
        <w:t>الإدارية</w:t>
      </w:r>
      <w:r>
        <w:rPr>
          <w:rFonts w:asciiTheme="minorBidi" w:hAnsiTheme="minorBidi"/>
          <w:sz w:val="32"/>
          <w:szCs w:val="32"/>
          <w:rtl/>
          <w:lang w:bidi="ar-EG"/>
        </w:rPr>
        <w:t xml:space="preserve"> والمحاكمات التأديبية وأحكام قانون مجلس الدولة رقم 47 لسنة 1972 المشار إليها.</w:t>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 xml:space="preserve"> </w:t>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 xml:space="preserve">وتختص المحاكم التأديبية بمجلس الدولة دون غيرها بالنسبة للعاملين في الشركات المشار إليها في الفقرة السابقة بما يلى:  </w:t>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 xml:space="preserve">(أ) توقيع جزاء الإحالة إلى المعاش أو الفصل من الشركة بعد العرض على اللجنة الثلاثية. </w:t>
      </w: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 xml:space="preserve">(ب) الفصل في التظلمات من القرارات التأديبية الصادرة من السلطات الرئاسية أو المجالس التأديبية المختصة بالشركة. </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اليه وكل حكم يخالف أحكامه، ونصت المادة (48) من القانون رقم (203) لسنة 1991 بعد تعديلها بالقانون المشار إليه على أن "تسرى في شأن واجبات العاملين بالشركات القابضة والتابعة والتحقيق معهم وتأديبهم أحكام قانون العمل الصادر بالقانون رقم 12لسنة 2003 ........"؛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ليقضى فيها وفقا لأحكام قانون العمل الصادر بالقانون رقم (12) لسنة 2003. </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lastRenderedPageBreak/>
        <w:t xml:space="preserve">ومن حيث إنه وفقا لنص المادة (48) من القانون رقم (203) لسنة 1991 المشار إليه بعد تعديلها بالقانون 185 لسنة 2020، فقد ساوى المشرع </w:t>
      </w:r>
      <w:r>
        <w:rPr>
          <w:rFonts w:asciiTheme="minorBidi" w:hAnsiTheme="minorBidi"/>
          <w:sz w:val="32"/>
          <w:szCs w:val="32"/>
          <w:u w:val="single"/>
          <w:rtl/>
          <w:lang w:bidi="ar-EG"/>
        </w:rPr>
        <w:t>بين العاملين في الشركات القابضة والتابعة وأخضعهم جميعا لأحكام قانون العمل</w:t>
      </w:r>
      <w:r>
        <w:rPr>
          <w:rFonts w:asciiTheme="minorBidi" w:hAnsiTheme="minorBidi"/>
          <w:sz w:val="32"/>
          <w:szCs w:val="32"/>
          <w:rtl/>
          <w:lang w:bidi="ar-EG"/>
        </w:rPr>
        <w:t xml:space="preserve">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w:t>
      </w:r>
      <w:r>
        <w:rPr>
          <w:rFonts w:asciiTheme="minorBidi" w:hAnsiTheme="minorBidi" w:hint="cs"/>
          <w:sz w:val="32"/>
          <w:szCs w:val="32"/>
          <w:rtl/>
          <w:lang w:bidi="ar-EG"/>
        </w:rPr>
        <w:t>وتأديبهم</w:t>
      </w:r>
      <w:r>
        <w:rPr>
          <w:rFonts w:asciiTheme="minorBidi" w:hAnsiTheme="minorBidi"/>
          <w:sz w:val="32"/>
          <w:szCs w:val="32"/>
          <w:rtl/>
          <w:lang w:bidi="ar-EG"/>
        </w:rPr>
        <w:t xml:space="preserve"> بعد أن </w:t>
      </w:r>
      <w:r>
        <w:rPr>
          <w:rFonts w:asciiTheme="minorBidi" w:hAnsiTheme="minorBidi" w:hint="cs"/>
          <w:sz w:val="32"/>
          <w:szCs w:val="32"/>
          <w:rtl/>
          <w:lang w:bidi="ar-EG"/>
        </w:rPr>
        <w:t>أخضعهم</w:t>
      </w:r>
      <w:r>
        <w:rPr>
          <w:rFonts w:asciiTheme="minorBidi" w:hAnsiTheme="minorBidi"/>
          <w:sz w:val="32"/>
          <w:szCs w:val="32"/>
          <w:rtl/>
          <w:lang w:bidi="ar-EG"/>
        </w:rPr>
        <w:t xml:space="preserve">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w:t>
      </w:r>
      <w:r>
        <w:rPr>
          <w:rFonts w:asciiTheme="minorBidi" w:hAnsiTheme="minorBidi" w:hint="cs"/>
          <w:sz w:val="32"/>
          <w:szCs w:val="32"/>
          <w:rtl/>
          <w:lang w:bidi="ar-EG"/>
        </w:rPr>
        <w:t>وتأديبهم</w:t>
      </w:r>
      <w:r>
        <w:rPr>
          <w:rFonts w:asciiTheme="minorBidi" w:hAnsiTheme="minorBidi"/>
          <w:sz w:val="32"/>
          <w:szCs w:val="32"/>
          <w:rtl/>
          <w:lang w:bidi="ar-EG"/>
        </w:rPr>
        <w:t xml:space="preserve">. </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hint="cs"/>
          <w:sz w:val="32"/>
          <w:szCs w:val="32"/>
          <w:rtl/>
          <w:lang w:bidi="ar-EG"/>
        </w:rPr>
      </w:pPr>
      <w:r>
        <w:rPr>
          <w:rFonts w:asciiTheme="minorBidi" w:hAnsiTheme="minorBidi"/>
          <w:sz w:val="32"/>
          <w:szCs w:val="32"/>
          <w:rtl/>
          <w:lang w:bidi="ar-EG"/>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وتأديبيهم،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0B5AA0" w:rsidRDefault="000B5AA0" w:rsidP="00656B2C">
      <w:pPr>
        <w:pStyle w:val="aa"/>
        <w:ind w:left="-1" w:firstLine="544"/>
        <w:jc w:val="both"/>
        <w:rPr>
          <w:rFonts w:asciiTheme="minorBidi" w:hAnsiTheme="minorBidi"/>
          <w:sz w:val="32"/>
          <w:szCs w:val="32"/>
          <w:lang w:bidi="ar-EG"/>
        </w:rPr>
      </w:pP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أن المشرع قد أفصح صراحة على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الى المحكمة المختصة... ولا يسري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 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في الطعن رقم 2759 لسنة 48 قضائية سالف البيان. </w:t>
      </w:r>
    </w:p>
    <w:p w:rsidR="000B5AA0" w:rsidRDefault="000B5AA0" w:rsidP="00656B2C">
      <w:pPr>
        <w:pStyle w:val="aa"/>
        <w:tabs>
          <w:tab w:val="left" w:pos="1455"/>
        </w:tabs>
        <w:ind w:left="-1" w:firstLine="544"/>
        <w:jc w:val="both"/>
        <w:rPr>
          <w:rFonts w:asciiTheme="minorBidi" w:hAnsiTheme="minorBidi"/>
          <w:sz w:val="32"/>
          <w:szCs w:val="32"/>
          <w:lang w:bidi="ar-EG"/>
        </w:rPr>
      </w:pPr>
      <w:r>
        <w:rPr>
          <w:rFonts w:asciiTheme="minorBidi" w:hAnsiTheme="minorBidi"/>
          <w:sz w:val="32"/>
          <w:szCs w:val="32"/>
          <w:rtl/>
          <w:lang w:bidi="ar-EG"/>
        </w:rPr>
        <w:tab/>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 xml:space="preserve">ومن حيث إن المادة الثامنة من ذات القانون تنص على أن " يُنشر هذا القانون في الجريدة الرسمية ويُعمل به في اليوم التالي لتاريخ نشرة ......". وقد نشر هذا القانون بالجريدة الرسمية بتاريخ 5/9/2020، </w:t>
      </w:r>
      <w:r>
        <w:rPr>
          <w:rFonts w:asciiTheme="minorBidi" w:hAnsiTheme="minorBidi"/>
          <w:sz w:val="32"/>
          <w:szCs w:val="32"/>
          <w:rtl/>
          <w:lang w:bidi="ar-EG"/>
        </w:rPr>
        <w:lastRenderedPageBreak/>
        <w:t>ومن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والفصل فيها للقضاء العمالي ليقضى فيها وفقا لأحكام قانون العمل الصادر بالقانون رقم (12) لسنة 2003.</w:t>
      </w:r>
    </w:p>
    <w:p w:rsidR="000B5AA0" w:rsidRDefault="000B5AA0" w:rsidP="00656B2C">
      <w:pPr>
        <w:pStyle w:val="aa"/>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ومن حيث إنه متى كان ما تقدم، وكان المحالان في الدعوى الماثلة من العاملين بالشركة القابضة للتشييد والتعمير وهي إحدى شركات قطاع الأعمال العام، وتخضع لأحكام قانون قطاع الأعمال الصادر بالقانون رقم (203) لسنة 1991 معدلا بالقانون رقم (185) لسنة 2020، وجرى حجز الدعوى للحكم بجلسة 27/4/2022، فإن هذه الدعوى أصبحت تخرج عن الاختصاص الولائي لهذه المحكمة، بما يتعين معه القضاء بإحالتها بحالتها إلى المحكمة العمالية المختصة، وفقا لما تقضى به المادة السادسة من القانون رقم (185) لسنة 2020 المشار إليه.</w:t>
      </w:r>
    </w:p>
    <w:p w:rsidR="000B5AA0" w:rsidRPr="000B5AA0" w:rsidRDefault="000B5AA0" w:rsidP="00656B2C">
      <w:pPr>
        <w:pStyle w:val="aa"/>
        <w:ind w:left="-1" w:firstLine="544"/>
        <w:jc w:val="center"/>
        <w:rPr>
          <w:rFonts w:asciiTheme="minorBidi" w:hAnsiTheme="minorBidi"/>
          <w:b/>
          <w:bCs/>
          <w:sz w:val="32"/>
          <w:szCs w:val="32"/>
          <w:lang w:bidi="ar-EG"/>
        </w:rPr>
      </w:pPr>
      <w:r w:rsidRPr="000B5AA0">
        <w:rPr>
          <w:rFonts w:asciiTheme="minorBidi" w:hAnsiTheme="minorBidi"/>
          <w:b/>
          <w:bCs/>
          <w:sz w:val="32"/>
          <w:szCs w:val="32"/>
          <w:rtl/>
          <w:lang w:bidi="ar-EG"/>
        </w:rPr>
        <w:t xml:space="preserve">فلهذه </w:t>
      </w:r>
      <w:r w:rsidRPr="000B5AA0">
        <w:rPr>
          <w:rFonts w:asciiTheme="minorBidi" w:hAnsiTheme="minorBidi" w:hint="cs"/>
          <w:b/>
          <w:bCs/>
          <w:sz w:val="32"/>
          <w:szCs w:val="32"/>
          <w:rtl/>
          <w:lang w:bidi="ar-EG"/>
        </w:rPr>
        <w:t>الأسباب</w:t>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حكمت المحكمة :-</w:t>
      </w:r>
    </w:p>
    <w:p w:rsidR="000B5AA0" w:rsidRDefault="000B5AA0" w:rsidP="00656B2C">
      <w:pPr>
        <w:pStyle w:val="aa"/>
        <w:ind w:left="-1" w:firstLine="544"/>
        <w:jc w:val="both"/>
        <w:rPr>
          <w:rFonts w:asciiTheme="minorBidi" w:hAnsiTheme="minorBidi"/>
          <w:sz w:val="32"/>
          <w:szCs w:val="32"/>
          <w:lang w:bidi="ar-EG"/>
        </w:rPr>
      </w:pPr>
      <w:r>
        <w:rPr>
          <w:rFonts w:asciiTheme="minorBidi" w:hAnsiTheme="minorBidi"/>
          <w:sz w:val="32"/>
          <w:szCs w:val="32"/>
          <w:rtl/>
          <w:lang w:bidi="ar-EG"/>
        </w:rPr>
        <w:t>بعدم اختصاصها ولائياً بنظر الدعوى، وأمرت بإحالتها بحالتها إلى محكمة شمال القاهرة الابتدائية (الدائرة العمالية) للاختصاص.</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3D" w:rsidRDefault="009E5E3D">
      <w:r>
        <w:separator/>
      </w:r>
    </w:p>
  </w:endnote>
  <w:endnote w:type="continuationSeparator" w:id="1">
    <w:p w:rsidR="009E5E3D" w:rsidRDefault="009E5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83CE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83CE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56B2C">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3D" w:rsidRDefault="009E5E3D">
      <w:r>
        <w:separator/>
      </w:r>
    </w:p>
  </w:footnote>
  <w:footnote w:type="continuationSeparator" w:id="1">
    <w:p w:rsidR="009E5E3D" w:rsidRDefault="009E5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56B2C">
          <w:rPr>
            <w:rFonts w:hint="cs"/>
            <w:sz w:val="28"/>
            <w:szCs w:val="28"/>
            <w:u w:val="single"/>
            <w:rtl/>
            <w:lang w:bidi="ar-EG"/>
          </w:rPr>
          <w:t>في الدعوي رقم 50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5AA0"/>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714"/>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6B2C"/>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2C5E"/>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3CE6"/>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5E3D"/>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1B"/>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09D"/>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basedOn w:val="a0"/>
    <w:link w:val="aa"/>
    <w:uiPriority w:val="1"/>
    <w:locked/>
    <w:rsid w:val="000B5AA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8690664">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1E4B11"/>
    <w:rsid w:val="00260D71"/>
    <w:rsid w:val="002A6F56"/>
    <w:rsid w:val="002A7286"/>
    <w:rsid w:val="002C21EE"/>
    <w:rsid w:val="00323129"/>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1732</Words>
  <Characters>9878</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2020-04-16T08:33:00Z</dcterms:modified>
  <cp:contentStatus>في الدعوي رقم 50 لسنة 64 ق.</cp:contentStatus>
</cp:coreProperties>
</file>