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612517">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612517">
        <w:rPr>
          <w:rFonts w:ascii="Arial" w:hAnsi="Arial" w:cs="Arial" w:hint="cs"/>
          <w:sz w:val="32"/>
          <w:szCs w:val="32"/>
          <w:rtl/>
          <w:lang w:bidi="ar-EG"/>
        </w:rPr>
        <w:t>23</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612517">
        <w:rPr>
          <w:rFonts w:ascii="Arial" w:hAnsi="Arial" w:cs="Arial" w:hint="cs"/>
          <w:sz w:val="32"/>
          <w:szCs w:val="32"/>
          <w:rtl/>
          <w:lang w:bidi="ar-EG"/>
        </w:rPr>
        <w:t>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300C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61251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612517">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811186">
          <w:pPr>
            <w:bidi/>
            <w:jc w:val="center"/>
            <w:rPr>
              <w:rFonts w:ascii="Arial" w:hAnsi="Arial" w:cs="Arial"/>
              <w:sz w:val="32"/>
              <w:szCs w:val="32"/>
              <w:rtl/>
            </w:rPr>
          </w:pPr>
          <w:r>
            <w:rPr>
              <w:rFonts w:ascii="Arial" w:hAnsi="Arial" w:cs="Arial" w:hint="cs"/>
              <w:sz w:val="32"/>
              <w:szCs w:val="32"/>
              <w:rtl/>
              <w:lang w:bidi="ar-EG"/>
            </w:rPr>
            <w:t xml:space="preserve">في الطعن رقم </w:t>
          </w:r>
          <w:r w:rsidR="0076279B">
            <w:rPr>
              <w:rFonts w:ascii="Arial" w:hAnsi="Arial" w:cs="Arial" w:hint="cs"/>
              <w:sz w:val="32"/>
              <w:szCs w:val="32"/>
              <w:rtl/>
              <w:lang w:bidi="ar-EG"/>
            </w:rPr>
            <w:t>30</w:t>
          </w:r>
          <w:r>
            <w:rPr>
              <w:rFonts w:ascii="Arial" w:hAnsi="Arial" w:cs="Arial" w:hint="cs"/>
              <w:sz w:val="32"/>
              <w:szCs w:val="32"/>
              <w:rtl/>
              <w:lang w:bidi="ar-EG"/>
            </w:rPr>
            <w:t xml:space="preserve"> لسنة </w:t>
          </w:r>
          <w:r w:rsidR="0076279B">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76279B" w:rsidRDefault="0076279B" w:rsidP="0076279B">
      <w:pPr>
        <w:tabs>
          <w:tab w:val="center" w:pos="4256"/>
        </w:tabs>
        <w:bidi/>
        <w:spacing w:after="160" w:line="360" w:lineRule="exact"/>
        <w:jc w:val="center"/>
        <w:outlineLvl w:val="0"/>
        <w:rPr>
          <w:rFonts w:ascii="Arial" w:eastAsia="Calibri" w:hAnsi="Arial" w:cs="Arial"/>
          <w:b/>
          <w:bCs/>
          <w:sz w:val="32"/>
          <w:szCs w:val="32"/>
          <w:rtl/>
        </w:rPr>
      </w:pPr>
      <w:r w:rsidRPr="0076279B">
        <w:rPr>
          <w:rFonts w:ascii="Arial" w:eastAsia="Calibri" w:hAnsi="Arial" w:cs="Arial"/>
          <w:b/>
          <w:bCs/>
          <w:sz w:val="32"/>
          <w:szCs w:val="32"/>
          <w:rtl/>
        </w:rPr>
        <w:t>المقام من/</w:t>
      </w:r>
    </w:p>
    <w:p w:rsidR="0076279B" w:rsidRPr="0076279B" w:rsidRDefault="0076279B" w:rsidP="0076279B">
      <w:pPr>
        <w:tabs>
          <w:tab w:val="center" w:pos="4256"/>
        </w:tabs>
        <w:bidi/>
        <w:spacing w:after="160" w:line="360" w:lineRule="exact"/>
        <w:jc w:val="center"/>
        <w:outlineLvl w:val="0"/>
        <w:rPr>
          <w:rFonts w:ascii="Arial" w:eastAsia="Calibri" w:hAnsi="Arial" w:cs="Arial"/>
          <w:sz w:val="32"/>
          <w:szCs w:val="32"/>
          <w:lang w:bidi="ar-EG"/>
        </w:rPr>
      </w:pPr>
      <w:r w:rsidRPr="0076279B">
        <w:rPr>
          <w:rFonts w:ascii="Arial" w:eastAsia="Calibri" w:hAnsi="Arial" w:cs="Arial"/>
          <w:sz w:val="32"/>
          <w:szCs w:val="32"/>
          <w:rtl/>
        </w:rPr>
        <w:t xml:space="preserve"> ضياء فتحي عبد العزيز حمودة.</w:t>
      </w:r>
    </w:p>
    <w:p w:rsidR="0076279B" w:rsidRPr="0076279B" w:rsidRDefault="0076279B" w:rsidP="0076279B">
      <w:pPr>
        <w:spacing w:after="160" w:line="252" w:lineRule="auto"/>
        <w:jc w:val="center"/>
        <w:rPr>
          <w:rFonts w:ascii="Arial" w:eastAsia="Calibri" w:hAnsi="Arial" w:cs="Arial"/>
          <w:b/>
          <w:bCs/>
          <w:sz w:val="32"/>
          <w:szCs w:val="32"/>
          <w:rtl/>
        </w:rPr>
      </w:pPr>
      <w:r w:rsidRPr="0076279B">
        <w:rPr>
          <w:rFonts w:ascii="Arial" w:eastAsia="Calibri" w:hAnsi="Arial" w:cs="Arial"/>
          <w:b/>
          <w:bCs/>
          <w:sz w:val="32"/>
          <w:szCs w:val="32"/>
          <w:rtl/>
        </w:rPr>
        <w:t>ضــــــــد/</w:t>
      </w:r>
    </w:p>
    <w:p w:rsidR="0076279B" w:rsidRDefault="0076279B" w:rsidP="0076279B">
      <w:pPr>
        <w:numPr>
          <w:ilvl w:val="0"/>
          <w:numId w:val="35"/>
        </w:numPr>
        <w:bidi/>
        <w:spacing w:line="252" w:lineRule="auto"/>
        <w:ind w:left="-24" w:firstLine="0"/>
        <w:contextualSpacing/>
        <w:jc w:val="center"/>
        <w:rPr>
          <w:rFonts w:ascii="Arial" w:eastAsia="Calibri" w:hAnsi="Arial" w:cs="Arial"/>
          <w:sz w:val="32"/>
          <w:szCs w:val="32"/>
          <w:lang w:bidi="ar-EG"/>
        </w:rPr>
      </w:pPr>
      <w:r>
        <w:rPr>
          <w:rFonts w:ascii="Arial" w:eastAsia="Calibri" w:hAnsi="Arial" w:cs="Arial" w:hint="cs"/>
          <w:sz w:val="32"/>
          <w:szCs w:val="32"/>
          <w:rtl/>
        </w:rPr>
        <w:t xml:space="preserve"> </w:t>
      </w:r>
      <w:r w:rsidRPr="0076279B">
        <w:rPr>
          <w:rFonts w:ascii="Arial" w:eastAsia="Calibri" w:hAnsi="Arial" w:cs="Arial"/>
          <w:sz w:val="32"/>
          <w:szCs w:val="32"/>
          <w:rtl/>
        </w:rPr>
        <w:t>رئيس جامعة الأزهر.</w:t>
      </w:r>
    </w:p>
    <w:p w:rsidR="0076279B" w:rsidRPr="0076279B" w:rsidRDefault="0076279B" w:rsidP="0076279B">
      <w:pPr>
        <w:bidi/>
        <w:spacing w:line="252" w:lineRule="auto"/>
        <w:ind w:left="-24"/>
        <w:contextualSpacing/>
        <w:rPr>
          <w:rFonts w:ascii="Arial" w:eastAsia="Calibri" w:hAnsi="Arial" w:cs="Arial"/>
          <w:sz w:val="32"/>
          <w:szCs w:val="32"/>
          <w:lang w:bidi="ar-EG"/>
        </w:rPr>
      </w:pPr>
    </w:p>
    <w:p w:rsidR="0076279B" w:rsidRPr="0076279B" w:rsidRDefault="0076279B" w:rsidP="0076279B">
      <w:pPr>
        <w:tabs>
          <w:tab w:val="left" w:pos="407"/>
          <w:tab w:val="left" w:pos="549"/>
          <w:tab w:val="center" w:pos="4256"/>
        </w:tabs>
        <w:bidi/>
        <w:spacing w:after="160" w:line="320" w:lineRule="exact"/>
        <w:jc w:val="both"/>
        <w:outlineLvl w:val="0"/>
        <w:rPr>
          <w:rFonts w:ascii="Arial" w:eastAsia="Calibri" w:hAnsi="Arial" w:cs="Arial"/>
          <w:b/>
          <w:bCs/>
          <w:sz w:val="32"/>
          <w:szCs w:val="32"/>
          <w:u w:val="single"/>
          <w:rtl/>
        </w:rPr>
      </w:pPr>
      <w:r w:rsidRPr="0076279B">
        <w:rPr>
          <w:rFonts w:ascii="Arial" w:eastAsia="Calibri" w:hAnsi="Arial" w:cs="Arial"/>
          <w:b/>
          <w:bCs/>
          <w:sz w:val="32"/>
          <w:szCs w:val="32"/>
          <w:u w:val="single"/>
          <w:rtl/>
        </w:rPr>
        <w:t>الوقائع</w:t>
      </w:r>
    </w:p>
    <w:p w:rsidR="0076279B" w:rsidRPr="0076279B" w:rsidRDefault="0076279B" w:rsidP="0076279B">
      <w:pPr>
        <w:bidi/>
        <w:spacing w:after="240"/>
        <w:jc w:val="both"/>
        <w:rPr>
          <w:rFonts w:ascii="Arial" w:eastAsia="Calibri" w:hAnsi="Arial" w:cs="Arial"/>
          <w:color w:val="000000"/>
          <w:sz w:val="32"/>
          <w:szCs w:val="32"/>
          <w:rtl/>
        </w:rPr>
      </w:pPr>
      <w:r w:rsidRPr="0076279B">
        <w:rPr>
          <w:rFonts w:ascii="Arial" w:eastAsia="Calibri" w:hAnsi="Arial" w:cs="Arial"/>
          <w:color w:val="000000"/>
          <w:sz w:val="32"/>
          <w:szCs w:val="32"/>
          <w:rtl/>
        </w:rPr>
        <w:t xml:space="preserve">     أقام الطاعن </w:t>
      </w:r>
      <w:r w:rsidRPr="0076279B">
        <w:rPr>
          <w:rFonts w:ascii="Arial" w:eastAsia="Calibri" w:hAnsi="Arial" w:cs="Arial"/>
          <w:sz w:val="32"/>
          <w:szCs w:val="32"/>
          <w:rtl/>
        </w:rPr>
        <w:t xml:space="preserve">الطعن الماثل </w:t>
      </w:r>
      <w:r w:rsidRPr="0076279B">
        <w:rPr>
          <w:rFonts w:ascii="Arial" w:eastAsia="Calibri" w:hAnsi="Arial" w:cs="Arial"/>
          <w:color w:val="000000"/>
          <w:sz w:val="32"/>
          <w:szCs w:val="32"/>
          <w:rtl/>
        </w:rPr>
        <w:t>بموجب صحيفة أودعت قلم كتاب هذه المحكمة بتاريخ 5/12/2021, وطلب الطاعن في ختامها الحكم بقبول الطعن شكلاً, وفي الموضوع بإلغاء قرار رئيس جامعة الأزهر رقم (1513) لسنة 2021, فيما تضمنه من مجازاة الطاعن بعقوبة التنبيه, مع ما يترتب على ذلك من آثار.</w:t>
      </w:r>
    </w:p>
    <w:p w:rsidR="0076279B" w:rsidRPr="0076279B" w:rsidRDefault="0076279B" w:rsidP="0076279B">
      <w:pPr>
        <w:bidi/>
        <w:spacing w:after="240"/>
        <w:jc w:val="both"/>
        <w:rPr>
          <w:rFonts w:ascii="Arial" w:eastAsia="Calibri" w:hAnsi="Arial" w:cs="Arial"/>
          <w:color w:val="000000"/>
          <w:sz w:val="32"/>
          <w:szCs w:val="32"/>
          <w:rtl/>
        </w:rPr>
      </w:pPr>
      <w:r w:rsidRPr="0076279B">
        <w:rPr>
          <w:rFonts w:ascii="Arial" w:eastAsia="Calibri" w:hAnsi="Arial" w:cs="Arial"/>
          <w:color w:val="000000"/>
          <w:sz w:val="32"/>
          <w:szCs w:val="32"/>
          <w:rtl/>
        </w:rPr>
        <w:t xml:space="preserve">     وذكر الطاعن شرحاً لطعنه أنه يشغل وظيفة </w:t>
      </w:r>
      <w:r w:rsidRPr="0076279B">
        <w:rPr>
          <w:rFonts w:ascii="Arial" w:eastAsia="Calibri" w:hAnsi="Arial" w:cs="Arial"/>
          <w:b/>
          <w:bCs/>
          <w:sz w:val="32"/>
          <w:szCs w:val="32"/>
          <w:rtl/>
        </w:rPr>
        <w:t xml:space="preserve"> </w:t>
      </w:r>
      <w:r w:rsidRPr="0076279B">
        <w:rPr>
          <w:rFonts w:ascii="Arial" w:eastAsia="Calibri" w:hAnsi="Arial" w:cs="Arial"/>
          <w:sz w:val="32"/>
          <w:szCs w:val="32"/>
          <w:rtl/>
        </w:rPr>
        <w:t>أستاذ</w:t>
      </w:r>
      <w:r w:rsidRPr="0076279B">
        <w:rPr>
          <w:rFonts w:ascii="Arial" w:eastAsia="Calibri" w:hAnsi="Arial" w:cs="Arial"/>
          <w:b/>
          <w:bCs/>
          <w:sz w:val="32"/>
          <w:szCs w:val="32"/>
          <w:rtl/>
        </w:rPr>
        <w:t xml:space="preserve"> </w:t>
      </w:r>
      <w:r w:rsidRPr="0076279B">
        <w:rPr>
          <w:rFonts w:ascii="Arial" w:eastAsia="Calibri" w:hAnsi="Arial" w:cs="Arial"/>
          <w:color w:val="000000"/>
          <w:sz w:val="32"/>
          <w:szCs w:val="32"/>
          <w:rtl/>
        </w:rPr>
        <w:t xml:space="preserve">بقسم الأدب بكلية اللغة العربية بنين جامعة الأزهر, وسبق أن أصدر رئيس جامعة الأزهر القرار رقم 464 لسنة 2019 بمجازاته بعقوبة اللوم, وقد قام الطاعن بالطعن على هذا القرار أمام هذه المحكمة بالطعن رقم (239) لسنة 53 ق, وبجلسة 28/10/2020  قضت المحكمة " بقبول الطعن شكلاً وفي الموضوع بإلغاء القرار المطعون فيه, مع ما يترتب على ذلك من آثار", إلا أن الطاعن فوجئ بصدور القرار المطعون فيه رقم (1513) بتاريخ 29/8/2021 بمجازاته بعقوبة التنبيه, بادعاء إدلائه بمعلومات غير صحيحة ترتب عليها صدور حكم المحكمة في الطعن رقم (239) لسنة 53 ق المشار إليه, وإذ ينع الطاعن على القرار المطعون فيه صدوره بالمخالفة للقانون لابتنائه على تحقيقات باطلة فقد تظلم منه دون جدوى, مما حدا به إلى اللجوء إلى لجنة التوفيق في المنازعات المختصة, ومن ثم إقامة طعنة الماثل بغية الحكم له بطلباته سالفة البيان. </w:t>
      </w:r>
    </w:p>
    <w:p w:rsidR="0076279B" w:rsidRDefault="0076279B" w:rsidP="0076279B">
      <w:pPr>
        <w:bidi/>
        <w:spacing w:after="240"/>
        <w:jc w:val="both"/>
        <w:rPr>
          <w:rFonts w:ascii="Arial" w:eastAsia="Calibri" w:hAnsi="Arial" w:cs="Arial"/>
          <w:color w:val="000000"/>
          <w:sz w:val="32"/>
          <w:szCs w:val="32"/>
          <w:rtl/>
        </w:rPr>
      </w:pPr>
      <w:r w:rsidRPr="0076279B">
        <w:rPr>
          <w:rFonts w:ascii="Arial" w:eastAsia="Calibri" w:hAnsi="Arial" w:cs="Arial"/>
          <w:color w:val="000000"/>
          <w:sz w:val="32"/>
          <w:szCs w:val="32"/>
          <w:rtl/>
        </w:rPr>
        <w:t xml:space="preserve"> </w:t>
      </w:r>
      <w:r w:rsidRPr="0076279B">
        <w:rPr>
          <w:rFonts w:ascii="Arial" w:hAnsi="Arial" w:cs="Arial"/>
          <w:sz w:val="32"/>
          <w:szCs w:val="32"/>
          <w:rtl/>
        </w:rPr>
        <w:t xml:space="preserve">    وتحدد لنظر الطعن أمام هذه المحكمة جلسة 5/1/2022، </w:t>
      </w:r>
      <w:r w:rsidRPr="0076279B">
        <w:rPr>
          <w:rFonts w:ascii="Arial" w:hAnsi="Arial" w:cs="Arial"/>
          <w:color w:val="000000"/>
          <w:sz w:val="32"/>
          <w:szCs w:val="32"/>
          <w:rtl/>
        </w:rPr>
        <w:t>حيث مثل خلالها الحاضر عن الطاعن ولم يحضر ممثل الجامعة, فقررت المحكمة تأجيل نظر الطعن لجلسة 26/1/2022 وكلفت الحاضر عن الطاعن بإعلان الجامعة المطعون ضدها بأصل صحيفة الطعن, وبالجلسة الأخيرة لم يحضر وكيل الطاعن ولم يحضر ممثل الجامعة المطعون ضدها, فقررت المحكمة حجز الطعن للحكم بجلسة اليوم, وفيها صدر الحكم وأودعت مسودته المشتملة على منطوقة وأسبابه لدى النطق به.</w:t>
      </w:r>
    </w:p>
    <w:p w:rsidR="0076279B" w:rsidRPr="0076279B" w:rsidRDefault="0076279B" w:rsidP="0076279B">
      <w:pPr>
        <w:bidi/>
        <w:spacing w:after="240"/>
        <w:jc w:val="both"/>
        <w:rPr>
          <w:rFonts w:ascii="Arial" w:eastAsia="Calibri" w:hAnsi="Arial" w:cs="Arial"/>
          <w:color w:val="000000"/>
          <w:sz w:val="32"/>
          <w:szCs w:val="32"/>
          <w:rtl/>
        </w:rPr>
      </w:pPr>
    </w:p>
    <w:p w:rsidR="0076279B" w:rsidRPr="0076279B" w:rsidRDefault="0076279B" w:rsidP="0076279B">
      <w:pPr>
        <w:bidi/>
        <w:spacing w:after="240"/>
        <w:ind w:left="-570" w:right="-450" w:firstLine="720"/>
        <w:jc w:val="center"/>
        <w:outlineLvl w:val="0"/>
        <w:rPr>
          <w:rFonts w:ascii="Arial" w:hAnsi="Arial" w:cs="Arial"/>
          <w:b/>
          <w:bCs/>
          <w:sz w:val="32"/>
          <w:szCs w:val="32"/>
          <w:u w:val="single"/>
          <w:rtl/>
        </w:rPr>
      </w:pPr>
      <w:r w:rsidRPr="0076279B">
        <w:rPr>
          <w:rFonts w:ascii="Arial" w:hAnsi="Arial" w:cs="Arial"/>
          <w:b/>
          <w:bCs/>
          <w:sz w:val="32"/>
          <w:szCs w:val="32"/>
          <w:u w:val="single"/>
          <w:rtl/>
        </w:rPr>
        <w:lastRenderedPageBreak/>
        <w:t>المحكمة</w:t>
      </w:r>
    </w:p>
    <w:p w:rsidR="0076279B" w:rsidRPr="0076279B" w:rsidRDefault="0076279B" w:rsidP="0076279B">
      <w:pPr>
        <w:bidi/>
        <w:spacing w:after="240"/>
        <w:ind w:right="-450"/>
        <w:outlineLvl w:val="0"/>
        <w:rPr>
          <w:rFonts w:ascii="Arial" w:hAnsi="Arial" w:cs="Arial"/>
          <w:sz w:val="32"/>
          <w:szCs w:val="32"/>
          <w:rtl/>
        </w:rPr>
      </w:pPr>
      <w:r w:rsidRPr="0076279B">
        <w:rPr>
          <w:rFonts w:ascii="Arial" w:hAnsi="Arial" w:cs="Arial"/>
          <w:sz w:val="32"/>
          <w:szCs w:val="32"/>
          <w:rtl/>
        </w:rPr>
        <w:t xml:space="preserve">       بعد الاطلاع على الأوراق وسماع الإيضاحات والمداولة قانوناً.</w:t>
      </w:r>
    </w:p>
    <w:p w:rsidR="0076279B" w:rsidRPr="0076279B" w:rsidRDefault="0076279B" w:rsidP="0076279B">
      <w:pPr>
        <w:bidi/>
        <w:spacing w:after="240"/>
        <w:jc w:val="both"/>
        <w:rPr>
          <w:rFonts w:ascii="Arial" w:eastAsia="Calibri" w:hAnsi="Arial" w:cs="Arial"/>
          <w:color w:val="000000"/>
          <w:sz w:val="32"/>
          <w:szCs w:val="32"/>
          <w:rtl/>
        </w:rPr>
      </w:pPr>
      <w:r w:rsidRPr="0076279B">
        <w:rPr>
          <w:rFonts w:ascii="Arial" w:hAnsi="Arial" w:cs="Arial"/>
          <w:sz w:val="32"/>
          <w:szCs w:val="32"/>
          <w:rtl/>
        </w:rPr>
        <w:t xml:space="preserve">       </w:t>
      </w:r>
      <w:r w:rsidRPr="0076279B">
        <w:rPr>
          <w:rFonts w:ascii="Arial" w:eastAsia="Calibri" w:hAnsi="Arial" w:cs="Arial"/>
          <w:sz w:val="32"/>
          <w:szCs w:val="32"/>
          <w:rtl/>
        </w:rPr>
        <w:t>من حيث إن الطاعن يهدف من طعنه إلى طلب الحكم بقبوله شكلاً</w:t>
      </w:r>
      <w:r w:rsidRPr="0076279B">
        <w:rPr>
          <w:rFonts w:ascii="Arial" w:eastAsia="Calibri" w:hAnsi="Arial" w:cs="Arial"/>
          <w:color w:val="FF0000"/>
          <w:sz w:val="32"/>
          <w:szCs w:val="32"/>
          <w:rtl/>
        </w:rPr>
        <w:t>،</w:t>
      </w:r>
      <w:r w:rsidRPr="0076279B">
        <w:rPr>
          <w:rFonts w:ascii="Arial" w:eastAsia="Calibri" w:hAnsi="Arial" w:cs="Arial"/>
          <w:color w:val="000000"/>
          <w:sz w:val="32"/>
          <w:szCs w:val="32"/>
          <w:rtl/>
        </w:rPr>
        <w:t xml:space="preserve"> وفي الموضوع بإلغاء قرار رئيس جامعة الأزهر رقم (1513) لسنة 2021, فيما تضمنه من مجازاة الطاعن بعقوبة التنبيه, مع ما يترتب على ذلك من آثار, وإلزام جهة الإدارة المصروفات.</w:t>
      </w:r>
    </w:p>
    <w:p w:rsidR="0076279B" w:rsidRPr="0076279B" w:rsidRDefault="0076279B" w:rsidP="0076279B">
      <w:pPr>
        <w:bidi/>
        <w:spacing w:after="240"/>
        <w:jc w:val="both"/>
        <w:rPr>
          <w:rFonts w:ascii="Arial" w:eastAsia="Calibri" w:hAnsi="Arial" w:cs="Arial"/>
          <w:color w:val="000000"/>
          <w:sz w:val="32"/>
          <w:szCs w:val="32"/>
          <w:rtl/>
        </w:rPr>
      </w:pPr>
      <w:r w:rsidRPr="0076279B">
        <w:rPr>
          <w:rFonts w:ascii="Arial" w:eastAsia="Calibri" w:hAnsi="Arial" w:cs="Arial"/>
          <w:color w:val="000000"/>
          <w:sz w:val="32"/>
          <w:szCs w:val="32"/>
          <w:rtl/>
        </w:rPr>
        <w:t xml:space="preserve">     وحيث إن المشرع بموجب نصي المادتين 25 و30 من قانون مجلس الدولة الصادر بالقانون رقم 47 لسنة 1972 قد نظم إجراءً جوهريا من إجراءات إقامة الدعوى أو الطعن وهو الإعلان سواء للجهة الإدارية أو ذوي الشأن نظرا لأهمية هذا الإعلان والإخطار بالجلسة حتى تنعقد الخصومة.</w:t>
      </w:r>
    </w:p>
    <w:p w:rsidR="0076279B" w:rsidRPr="0076279B" w:rsidRDefault="0076279B" w:rsidP="0076279B">
      <w:pPr>
        <w:bidi/>
        <w:spacing w:after="240"/>
        <w:jc w:val="both"/>
        <w:rPr>
          <w:rFonts w:ascii="Arial" w:eastAsia="Calibri" w:hAnsi="Arial" w:cs="Arial"/>
          <w:color w:val="000000"/>
          <w:sz w:val="32"/>
          <w:szCs w:val="32"/>
          <w:rtl/>
        </w:rPr>
      </w:pPr>
      <w:r w:rsidRPr="0076279B">
        <w:rPr>
          <w:rFonts w:ascii="Arial" w:eastAsia="Calibri" w:hAnsi="Arial" w:cs="Arial"/>
          <w:color w:val="000000"/>
          <w:sz w:val="32"/>
          <w:szCs w:val="32"/>
          <w:rtl/>
        </w:rPr>
        <w:t xml:space="preserve">     وحيث إن قضاء المحكمة الإدارية العليا قد جرى على أن الإعلان يمثل أصلا عاما من أصول التقاضي لضمان حق الدفاع أصليا أو بالوكالة ويتحقق ذلك بالإعلان إذ لا خصومة بدون طرفين يباشر كل منهما حق الدفاع كاملا في ساحة العدالة ويترتب على إهمال هذا الأصل العام والأساس الجوهري وقوع عيب شكلي جوهري في الإجراءات يخالف النظام العام ويؤدي إلى عدم انعقاد الخصومة. (حكم المحكمة الإدارية العليا في الطعن رقم 6809 لسنة 43 ق. عليا)</w:t>
      </w:r>
    </w:p>
    <w:p w:rsidR="0076279B" w:rsidRPr="0076279B" w:rsidRDefault="0076279B" w:rsidP="0076279B">
      <w:pPr>
        <w:bidi/>
        <w:spacing w:after="240"/>
        <w:jc w:val="both"/>
        <w:rPr>
          <w:rFonts w:ascii="Arial" w:eastAsia="Calibri" w:hAnsi="Arial" w:cs="Arial"/>
          <w:color w:val="000000"/>
          <w:sz w:val="32"/>
          <w:szCs w:val="32"/>
          <w:rtl/>
        </w:rPr>
      </w:pPr>
      <w:r w:rsidRPr="0076279B">
        <w:rPr>
          <w:rFonts w:ascii="Arial" w:eastAsia="Calibri" w:hAnsi="Arial" w:cs="Arial"/>
          <w:color w:val="000000"/>
          <w:sz w:val="32"/>
          <w:szCs w:val="32"/>
          <w:rtl/>
        </w:rPr>
        <w:t xml:space="preserve">     وحيث إنه لما كان ما تقدم وكان البين من الأوراق أن الطاعن أقام الطعن الماثل ولم يقم بإعلان الجامعة المطعون ضدها بعريضة الطعن إعلانا قانونيا صحيحا رغم تأجيل نظر الطعن لهذا الغرض, فمن ثم </w:t>
      </w:r>
      <w:r w:rsidRPr="0076279B">
        <w:rPr>
          <w:rFonts w:ascii="Arial" w:eastAsia="Calibri" w:hAnsi="Arial" w:cs="Arial"/>
          <w:color w:val="FF0000"/>
          <w:sz w:val="32"/>
          <w:szCs w:val="32"/>
          <w:rtl/>
        </w:rPr>
        <w:t xml:space="preserve">فإن المحكمة تقضى </w:t>
      </w:r>
      <w:r w:rsidRPr="0076279B">
        <w:rPr>
          <w:rFonts w:ascii="Arial" w:eastAsia="Calibri" w:hAnsi="Arial" w:cs="Arial"/>
          <w:color w:val="000000"/>
          <w:sz w:val="32"/>
          <w:szCs w:val="32"/>
          <w:rtl/>
        </w:rPr>
        <w:t>بعدم انعقاد الخصومة في الطعن.</w:t>
      </w:r>
    </w:p>
    <w:p w:rsidR="0076279B" w:rsidRPr="0076279B" w:rsidRDefault="0076279B" w:rsidP="0076279B">
      <w:pPr>
        <w:bidi/>
        <w:spacing w:after="240"/>
        <w:jc w:val="center"/>
        <w:rPr>
          <w:rFonts w:ascii="Arial" w:eastAsia="Calibri" w:hAnsi="Arial" w:cs="Arial"/>
          <w:b/>
          <w:bCs/>
          <w:color w:val="000000"/>
          <w:sz w:val="32"/>
          <w:szCs w:val="32"/>
          <w:rtl/>
        </w:rPr>
      </w:pPr>
      <w:r w:rsidRPr="0076279B">
        <w:rPr>
          <w:rFonts w:ascii="Arial" w:eastAsia="Calibri" w:hAnsi="Arial" w:cs="Arial"/>
          <w:b/>
          <w:bCs/>
          <w:color w:val="000000"/>
          <w:sz w:val="32"/>
          <w:szCs w:val="32"/>
          <w:rtl/>
        </w:rPr>
        <w:t>فلهذه الأسباب</w:t>
      </w:r>
    </w:p>
    <w:p w:rsidR="008D6B21" w:rsidRPr="0076279B" w:rsidRDefault="0076279B" w:rsidP="004A04EA">
      <w:pPr>
        <w:bidi/>
        <w:spacing w:after="240"/>
        <w:jc w:val="both"/>
        <w:rPr>
          <w:rFonts w:ascii="Arial" w:eastAsia="Calibri" w:hAnsi="Arial" w:cs="Arial"/>
          <w:color w:val="000000"/>
          <w:sz w:val="32"/>
          <w:szCs w:val="32"/>
          <w:rtl/>
        </w:rPr>
      </w:pPr>
      <w:r w:rsidRPr="0076279B">
        <w:rPr>
          <w:rFonts w:ascii="Arial" w:eastAsia="Calibri" w:hAnsi="Arial" w:cs="Arial"/>
          <w:b/>
          <w:bCs/>
          <w:color w:val="000000"/>
          <w:sz w:val="32"/>
          <w:szCs w:val="32"/>
          <w:rtl/>
        </w:rPr>
        <w:t xml:space="preserve">     حكمت المحكمة:</w:t>
      </w:r>
      <w:r w:rsidRPr="0076279B">
        <w:rPr>
          <w:rFonts w:ascii="Arial" w:eastAsia="Calibri" w:hAnsi="Arial" w:cs="Arial"/>
          <w:color w:val="000000"/>
          <w:sz w:val="32"/>
          <w:szCs w:val="32"/>
          <w:rtl/>
        </w:rPr>
        <w:t xml:space="preserve"> بعدم انعقاد الخصومة في الطعن</w:t>
      </w:r>
      <w:r w:rsidR="004A04EA">
        <w:rPr>
          <w:rFonts w:ascii="Arial" w:eastAsia="Calibri" w:hAnsi="Arial" w:cs="Arial" w:hint="cs"/>
          <w:color w:val="000000"/>
          <w:sz w:val="32"/>
          <w:szCs w:val="32"/>
          <w:rtl/>
        </w:rPr>
        <w:t xml:space="preserve"> </w:t>
      </w:r>
      <w:r w:rsidRPr="0076279B">
        <w:rPr>
          <w:rFonts w:ascii="Arial" w:eastAsia="Calibri" w:hAnsi="Arial" w:cs="Arial"/>
          <w:color w:val="000000"/>
          <w:sz w:val="32"/>
          <w:szCs w:val="32"/>
          <w:rtl/>
        </w:rPr>
        <w:t>.</w:t>
      </w:r>
    </w:p>
    <w:p w:rsidR="006C44F1" w:rsidRDefault="003D5339" w:rsidP="008D6B21">
      <w:pPr>
        <w:bidi/>
        <w:spacing w:after="240" w:line="216" w:lineRule="auto"/>
        <w:jc w:val="both"/>
        <w:rPr>
          <w:rFonts w:ascii="Arial" w:hAnsi="Arial" w:cs="Arial"/>
          <w:b/>
          <w:bCs/>
          <w:sz w:val="32"/>
          <w:szCs w:val="32"/>
          <w:rtl/>
        </w:rPr>
      </w:pPr>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975" w:rsidRDefault="00B04975">
      <w:r>
        <w:separator/>
      </w:r>
    </w:p>
  </w:endnote>
  <w:endnote w:type="continuationSeparator" w:id="1">
    <w:p w:rsidR="00B04975" w:rsidRDefault="00B049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50EA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50EA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4A04EA">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975" w:rsidRDefault="00B04975">
      <w:r>
        <w:separator/>
      </w:r>
    </w:p>
  </w:footnote>
  <w:footnote w:type="continuationSeparator" w:id="1">
    <w:p w:rsidR="00B04975" w:rsidRDefault="00B049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76279B">
          <w:rPr>
            <w:rFonts w:hint="cs"/>
            <w:sz w:val="28"/>
            <w:szCs w:val="28"/>
            <w:u w:val="single"/>
            <w:rtl/>
            <w:lang w:bidi="ar-EG"/>
          </w:rPr>
          <w:t>في الطعن رقم 30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AA879C5"/>
    <w:multiLevelType w:val="hybridMultilevel"/>
    <w:tmpl w:val="B8AC3C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2">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3">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4">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1"/>
  </w:num>
  <w:num w:numId="18">
    <w:abstractNumId w:val="1"/>
  </w:num>
  <w:num w:numId="19">
    <w:abstractNumId w:val="12"/>
  </w:num>
  <w:num w:numId="20">
    <w:abstractNumId w:val="18"/>
  </w:num>
  <w:num w:numId="21">
    <w:abstractNumId w:val="26"/>
  </w:num>
  <w:num w:numId="22">
    <w:abstractNumId w:val="15"/>
  </w:num>
  <w:num w:numId="23">
    <w:abstractNumId w:val="32"/>
  </w:num>
  <w:num w:numId="24">
    <w:abstractNumId w:val="33"/>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253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180"/>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0EA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4EA"/>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517"/>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79B"/>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975"/>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1F1B"/>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70813136">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772C7"/>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012A"/>
    <w:rsid w:val="00B7370B"/>
    <w:rsid w:val="00C203EE"/>
    <w:rsid w:val="00C523D1"/>
    <w:rsid w:val="00C66D8B"/>
    <w:rsid w:val="00C70F6F"/>
    <w:rsid w:val="00CB590A"/>
    <w:rsid w:val="00CB76C3"/>
    <w:rsid w:val="00CC708A"/>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570</Words>
  <Characters>3255</Characters>
  <Application>Microsoft Office Word</Application>
  <DocSecurity>0</DocSecurity>
  <Lines>27</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65</cp:revision>
  <cp:lastPrinted>2019-10-26T08:39:00Z</cp:lastPrinted>
  <dcterms:created xsi:type="dcterms:W3CDTF">2019-09-24T23:17:00Z</dcterms:created>
  <dcterms:modified xsi:type="dcterms:W3CDTF">2020-04-11T10:13:00Z</dcterms:modified>
  <cp:contentStatus>في الطعن رقم 30 لسنة 56 ق.</cp:contentStatus>
</cp:coreProperties>
</file>