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39509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39509F">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9509F">
        <w:rPr>
          <w:rFonts w:ascii="Arial" w:hAnsi="Arial" w:cs="Arial" w:hint="cs"/>
          <w:sz w:val="32"/>
          <w:szCs w:val="32"/>
          <w:rtl/>
          <w:lang w:bidi="ar-EG"/>
        </w:rPr>
        <w:t>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EB0C86">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EB0C86">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72787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EB0C86">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727874">
        <w:rPr>
          <w:rFonts w:ascii="Arial" w:hAnsi="Arial" w:cs="Arial" w:hint="cs"/>
          <w:sz w:val="32"/>
          <w:szCs w:val="32"/>
          <w:rtl/>
          <w:lang w:bidi="ar-EG"/>
        </w:rPr>
        <w:t xml:space="preserve">       </w:t>
      </w:r>
      <w:r w:rsidR="00EB0C86">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ED75DD">
          <w:pPr>
            <w:bidi/>
            <w:jc w:val="center"/>
            <w:rPr>
              <w:rFonts w:ascii="Arial" w:hAnsi="Arial" w:cs="Arial"/>
              <w:sz w:val="32"/>
              <w:szCs w:val="32"/>
              <w:rtl/>
            </w:rPr>
          </w:pPr>
          <w:r>
            <w:rPr>
              <w:rFonts w:ascii="Arial" w:hAnsi="Arial" w:cs="Arial" w:hint="cs"/>
              <w:sz w:val="32"/>
              <w:szCs w:val="32"/>
              <w:rtl/>
              <w:lang w:bidi="ar-EG"/>
            </w:rPr>
            <w:t xml:space="preserve">في الطعن رقم </w:t>
          </w:r>
          <w:r w:rsidR="00ED75DD">
            <w:rPr>
              <w:rFonts w:ascii="Arial" w:hAnsi="Arial" w:cs="Arial" w:hint="cs"/>
              <w:sz w:val="32"/>
              <w:szCs w:val="32"/>
              <w:rtl/>
              <w:lang w:bidi="ar-EG"/>
            </w:rPr>
            <w:t>59</w:t>
          </w:r>
          <w:r>
            <w:rPr>
              <w:rFonts w:ascii="Arial" w:hAnsi="Arial" w:cs="Arial" w:hint="cs"/>
              <w:sz w:val="32"/>
              <w:szCs w:val="32"/>
              <w:rtl/>
              <w:lang w:bidi="ar-EG"/>
            </w:rPr>
            <w:t xml:space="preserve"> لسنة </w:t>
          </w:r>
          <w:r w:rsidR="00ED75DD">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ED75DD" w:rsidRPr="00ED75DD" w:rsidRDefault="00ED75DD" w:rsidP="00ED75DD">
      <w:pPr>
        <w:pStyle w:val="normal"/>
        <w:spacing w:after="0" w:line="240" w:lineRule="auto"/>
        <w:ind w:left="-1"/>
        <w:jc w:val="center"/>
        <w:rPr>
          <w:rFonts w:asciiTheme="minorBidi" w:eastAsia="Traditional Arabic" w:hAnsiTheme="minorBidi" w:cstheme="minorBidi" w:hint="cs"/>
          <w:bCs/>
          <w:sz w:val="32"/>
          <w:szCs w:val="32"/>
          <w:rtl/>
        </w:rPr>
      </w:pPr>
      <w:r w:rsidRPr="00ED75DD">
        <w:rPr>
          <w:rFonts w:asciiTheme="minorBidi" w:eastAsia="Traditional Arabic" w:hAnsiTheme="minorBidi" w:cstheme="minorBidi"/>
          <w:bCs/>
          <w:sz w:val="32"/>
          <w:szCs w:val="32"/>
          <w:rtl/>
        </w:rPr>
        <w:t xml:space="preserve">المقام من: </w:t>
      </w:r>
    </w:p>
    <w:p w:rsidR="00ED75DD" w:rsidRDefault="00ED75DD" w:rsidP="00ED75DD">
      <w:pPr>
        <w:pStyle w:val="normal"/>
        <w:spacing w:after="0" w:line="240" w:lineRule="auto"/>
        <w:ind w:left="-1"/>
        <w:jc w:val="center"/>
        <w:rPr>
          <w:rFonts w:asciiTheme="minorBidi" w:eastAsia="Traditional Arabic" w:hAnsiTheme="minorBidi" w:cstheme="minorBidi"/>
          <w:b/>
          <w:sz w:val="32"/>
          <w:szCs w:val="32"/>
        </w:rPr>
      </w:pPr>
      <w:r>
        <w:rPr>
          <w:rFonts w:asciiTheme="minorBidi" w:eastAsia="Traditional Arabic" w:hAnsiTheme="minorBidi" w:cstheme="minorBidi"/>
          <w:b/>
          <w:sz w:val="32"/>
          <w:szCs w:val="32"/>
          <w:rtl/>
        </w:rPr>
        <w:t>محمود محمد أحمد محمد  .</w:t>
      </w:r>
    </w:p>
    <w:p w:rsidR="00ED75DD" w:rsidRPr="00ED75DD" w:rsidRDefault="00ED75DD" w:rsidP="00ED75DD">
      <w:pPr>
        <w:pStyle w:val="normal"/>
        <w:spacing w:after="0" w:line="240" w:lineRule="auto"/>
        <w:ind w:left="-1"/>
        <w:jc w:val="center"/>
        <w:rPr>
          <w:rFonts w:asciiTheme="minorBidi" w:eastAsia="Traditional Arabic" w:hAnsiTheme="minorBidi" w:cstheme="minorBidi"/>
          <w:bCs/>
          <w:sz w:val="32"/>
          <w:szCs w:val="32"/>
        </w:rPr>
      </w:pPr>
      <w:r w:rsidRPr="00ED75DD">
        <w:rPr>
          <w:rFonts w:asciiTheme="minorBidi" w:eastAsia="Traditional Arabic" w:hAnsiTheme="minorBidi" w:cstheme="minorBidi"/>
          <w:bCs/>
          <w:sz w:val="32"/>
          <w:szCs w:val="32"/>
          <w:rtl/>
        </w:rPr>
        <w:t>ضــــــــــــــد</w:t>
      </w:r>
    </w:p>
    <w:p w:rsidR="00ED75DD" w:rsidRDefault="00ED75DD" w:rsidP="00ED75DD">
      <w:pPr>
        <w:pStyle w:val="normal"/>
        <w:numPr>
          <w:ilvl w:val="0"/>
          <w:numId w:val="35"/>
        </w:numPr>
        <w:spacing w:after="0" w:line="240" w:lineRule="auto"/>
        <w:ind w:left="-1" w:right="0"/>
        <w:jc w:val="center"/>
        <w:rPr>
          <w:rFonts w:asciiTheme="minorBidi" w:hAnsiTheme="minorBidi" w:cstheme="minorBidi" w:hint="cs"/>
          <w:b/>
          <w:sz w:val="32"/>
          <w:szCs w:val="32"/>
        </w:rPr>
      </w:pPr>
      <w:r>
        <w:rPr>
          <w:rFonts w:asciiTheme="minorBidi" w:eastAsia="Traditional Arabic" w:hAnsiTheme="minorBidi" w:cstheme="minorBidi"/>
          <w:b/>
          <w:sz w:val="32"/>
          <w:szCs w:val="32"/>
          <w:rtl/>
        </w:rPr>
        <w:t>رئيس جامعة الوادي الجديد بصفته.</w:t>
      </w:r>
    </w:p>
    <w:p w:rsidR="00ED75DD" w:rsidRDefault="00ED75DD" w:rsidP="00ED75DD">
      <w:pPr>
        <w:pStyle w:val="normal"/>
        <w:spacing w:after="0" w:line="240" w:lineRule="auto"/>
        <w:ind w:left="-1"/>
        <w:rPr>
          <w:rFonts w:asciiTheme="minorBidi" w:hAnsiTheme="minorBidi" w:cstheme="minorBidi"/>
          <w:b/>
          <w:sz w:val="32"/>
          <w:szCs w:val="32"/>
        </w:rPr>
      </w:pPr>
    </w:p>
    <w:p w:rsidR="00ED75DD" w:rsidRPr="00ED75DD" w:rsidRDefault="00ED75DD" w:rsidP="00ED75DD">
      <w:pPr>
        <w:pStyle w:val="normal"/>
        <w:spacing w:after="0" w:line="240" w:lineRule="auto"/>
        <w:ind w:left="-1" w:hanging="23"/>
        <w:rPr>
          <w:rFonts w:asciiTheme="minorBidi" w:eastAsia="Traditional Arabic" w:hAnsiTheme="minorBidi" w:cstheme="minorBidi"/>
          <w:bCs/>
          <w:sz w:val="32"/>
          <w:szCs w:val="32"/>
        </w:rPr>
      </w:pPr>
      <w:r w:rsidRPr="00ED75DD">
        <w:rPr>
          <w:rFonts w:asciiTheme="minorBidi" w:eastAsia="Traditional Arabic" w:hAnsiTheme="minorBidi" w:cstheme="minorBidi"/>
          <w:bCs/>
          <w:sz w:val="32"/>
          <w:szCs w:val="32"/>
          <w:u w:val="single"/>
          <w:rtl/>
        </w:rPr>
        <w:t>الوقائع</w:t>
      </w:r>
    </w:p>
    <w:p w:rsidR="00ED75DD" w:rsidRDefault="00ED75DD" w:rsidP="005805A6">
      <w:pPr>
        <w:pStyle w:val="normal"/>
        <w:spacing w:line="240" w:lineRule="auto"/>
        <w:ind w:left="-1" w:firstLine="544"/>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أقام الطاعن طعنه الماثل بإيداع صحيفته - ابتداءً - قلم كتاب المحكمة التأديبية لمحافظتي أسيوط والوادي الجديد بتاريخ 15/6/ 2021 وقيدت بجدولها تحت رقم 192 لسنة 48 ق، طالبا في ختامها الحكم بقبول الطعن شكلا، وفي الموضوع بإلغاء قرارات رئيس الجامعة بإحالة الطاعن الي مجلس التأديب أعضاء هيئة التدريس بجامعة الوادي الجديد  أرقام  62 لسنة 2021 الصادر بتاريخ 4/4/2021 , 58 لسنة 2021 الصادر بتاريخ 30/3/2021 , 55 لسنة 2021 الصادر بتاريخ 24/3/2021 ,ورقم 52 لسنة 2021 الصادر بتاريخ 20/3/2021 واعتبارها كأن لم تكن مع ما يترتب علي ذلك من اثار , </w:t>
      </w:r>
      <w:r>
        <w:rPr>
          <w:rFonts w:asciiTheme="minorBidi" w:eastAsia="Traditional Arabic" w:hAnsiTheme="minorBidi" w:cstheme="minorBidi" w:hint="cs"/>
          <w:sz w:val="32"/>
          <w:szCs w:val="32"/>
          <w:rtl/>
        </w:rPr>
        <w:t>وإلزام</w:t>
      </w:r>
      <w:r>
        <w:rPr>
          <w:rFonts w:asciiTheme="minorBidi" w:eastAsia="Traditional Arabic" w:hAnsiTheme="minorBidi" w:cstheme="minorBidi"/>
          <w:sz w:val="32"/>
          <w:szCs w:val="32"/>
          <w:rtl/>
        </w:rPr>
        <w:t xml:space="preserve"> جهة </w:t>
      </w:r>
      <w:r>
        <w:rPr>
          <w:rFonts w:asciiTheme="minorBidi" w:eastAsia="Traditional Arabic" w:hAnsiTheme="minorBidi" w:cstheme="minorBidi" w:hint="cs"/>
          <w:sz w:val="32"/>
          <w:szCs w:val="32"/>
          <w:rtl/>
        </w:rPr>
        <w:t>الإدارية</w:t>
      </w:r>
      <w:r>
        <w:rPr>
          <w:rFonts w:asciiTheme="minorBidi" w:eastAsia="Traditional Arabic" w:hAnsiTheme="minorBidi" w:cstheme="minorBidi"/>
          <w:sz w:val="32"/>
          <w:szCs w:val="32"/>
          <w:rtl/>
        </w:rPr>
        <w:t xml:space="preserve"> المصروفات وتنفيذ الحكم بمسودته.</w:t>
      </w:r>
    </w:p>
    <w:p w:rsidR="00ED75DD" w:rsidRDefault="00ED75DD" w:rsidP="005805A6">
      <w:pPr>
        <w:pStyle w:val="normal"/>
        <w:ind w:left="-1" w:firstLine="544"/>
        <w:jc w:val="both"/>
        <w:rPr>
          <w:rFonts w:asciiTheme="minorBidi" w:hAnsiTheme="minorBidi" w:cstheme="minorBidi"/>
          <w:sz w:val="32"/>
          <w:szCs w:val="32"/>
        </w:rPr>
      </w:pPr>
      <w:r>
        <w:rPr>
          <w:rFonts w:asciiTheme="minorBidi" w:eastAsia="Traditional Arabic" w:hAnsiTheme="minorBidi" w:cstheme="minorBidi"/>
          <w:sz w:val="32"/>
          <w:szCs w:val="32"/>
          <w:rtl/>
        </w:rPr>
        <w:t>وذكر الطاعن شرحا لطعنه، أنه يشغل وظيفة أستاذ بكلية العلوم جامعة الوادي الجديد ، وأنه تم فتح باب الترشح لشغل منصب عميد كلية العلوم بالوادي الجديد , وقد قام بالتقدم لشغله , الا أنه فوجئ باحالته للتحقيق ثم صدور القرارات أرقام 62 لسنة 2021</w:t>
      </w:r>
      <w:r>
        <w:rPr>
          <w:rFonts w:asciiTheme="minorBidi" w:hAnsiTheme="minorBidi" w:cstheme="minorBidi"/>
          <w:sz w:val="32"/>
          <w:szCs w:val="32"/>
        </w:rPr>
        <w:t xml:space="preserve"> , </w:t>
      </w:r>
      <w:r>
        <w:rPr>
          <w:rFonts w:asciiTheme="minorBidi" w:eastAsia="Traditional Arabic" w:hAnsiTheme="minorBidi" w:cstheme="minorBidi"/>
          <w:sz w:val="32"/>
          <w:szCs w:val="32"/>
          <w:rtl/>
        </w:rPr>
        <w:t xml:space="preserve">58 لسنة 2021, 55 لسنة 2021,ورقم 52 لسنة 2021 </w:t>
      </w:r>
      <w:r>
        <w:rPr>
          <w:rFonts w:asciiTheme="minorBidi" w:eastAsia="Traditional Arabic" w:hAnsiTheme="minorBidi" w:cstheme="minorBidi" w:hint="cs"/>
          <w:sz w:val="32"/>
          <w:szCs w:val="32"/>
          <w:rtl/>
        </w:rPr>
        <w:t>بإحالته</w:t>
      </w:r>
      <w:r>
        <w:rPr>
          <w:rFonts w:asciiTheme="minorBidi" w:eastAsia="Traditional Arabic" w:hAnsiTheme="minorBidi" w:cstheme="minorBidi"/>
          <w:sz w:val="32"/>
          <w:szCs w:val="32"/>
          <w:rtl/>
        </w:rPr>
        <w:t xml:space="preserve"> الي مجلس تأديب أعضاء هيئة التدريس بالجامعة دون سماع أقواله أو دفاعه ,وذلك لإضاعة الفرصة عليه لشغل منصب عميد كلية العلوم بالوادي الجديد , وينعي الطاعن علي القرارات المطعون فيها مخالفتها للقانون , الأمر الذي حدا به الي إقامة الطعن الماثل للحكم له بطلباته سالفة البيان .</w:t>
      </w:r>
    </w:p>
    <w:p w:rsidR="00ED75DD" w:rsidRDefault="00ED75DD" w:rsidP="005805A6">
      <w:pPr>
        <w:pStyle w:val="normal"/>
        <w:ind w:left="-1" w:firstLine="544"/>
        <w:jc w:val="both"/>
        <w:rPr>
          <w:rFonts w:asciiTheme="minorBidi" w:hAnsiTheme="minorBidi" w:cstheme="minorBidi"/>
          <w:sz w:val="32"/>
          <w:szCs w:val="32"/>
        </w:rPr>
      </w:pPr>
      <w:r>
        <w:rPr>
          <w:rFonts w:asciiTheme="minorBidi" w:eastAsia="Traditional Arabic" w:hAnsiTheme="minorBidi" w:cstheme="minorBidi"/>
          <w:sz w:val="32"/>
          <w:szCs w:val="32"/>
          <w:rtl/>
        </w:rPr>
        <w:t xml:space="preserve">  وتدوول الطعن أمام المحكمة المنوه عنها على النحو الثابت بمحاضر جلساتها، وقضت بجلسة 23/11/2021 بعدم اختصاصها نوعيا بنظر الطعن وأمرت بإحالته بحالته إلى المحكمة التأديبية لمستوى الإدارة العليا للاختصاص،مع ابقاء الفصل في المصروفات .</w:t>
      </w:r>
    </w:p>
    <w:p w:rsidR="00ED75DD" w:rsidRDefault="00ED75DD" w:rsidP="005805A6">
      <w:pPr>
        <w:pStyle w:val="normal"/>
        <w:spacing w:line="240" w:lineRule="auto"/>
        <w:ind w:left="-1" w:firstLine="544"/>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 ونفاذا لهذا الحكم  ورد الطعن إلى هذه المحكمة وقيد بجدولها تحت الرقم المدون بصدر هذا الحكم.</w:t>
      </w:r>
    </w:p>
    <w:p w:rsidR="00ED75DD" w:rsidRDefault="00ED75DD" w:rsidP="005805A6">
      <w:pPr>
        <w:pStyle w:val="normal"/>
        <w:spacing w:before="120" w:line="240" w:lineRule="auto"/>
        <w:ind w:left="-1" w:firstLine="544"/>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lastRenderedPageBreak/>
        <w:t xml:space="preserve">   وتحدد لنظر الطعن أمام هذه المحكمة جلسة 2/3/2022، وتدوول أمامها على النحو الثابت بمحاضر الجلسات، وبذات الجلسة قررت المحكمة حجز الطعن للحكم بجلسة اليوم، وبها صدر الحكم وأودعت مسودته متضمنة أسبابه عند النطق به.</w:t>
      </w:r>
    </w:p>
    <w:p w:rsidR="00ED75DD" w:rsidRPr="00ED75DD" w:rsidRDefault="00ED75DD" w:rsidP="005805A6">
      <w:pPr>
        <w:pStyle w:val="normal"/>
        <w:spacing w:line="240" w:lineRule="auto"/>
        <w:ind w:left="-1" w:firstLine="544"/>
        <w:jc w:val="center"/>
        <w:rPr>
          <w:rFonts w:asciiTheme="minorBidi" w:eastAsia="Traditional Arabic" w:hAnsiTheme="minorBidi" w:cstheme="minorBidi"/>
          <w:bCs/>
          <w:sz w:val="32"/>
          <w:szCs w:val="32"/>
        </w:rPr>
      </w:pPr>
      <w:r w:rsidRPr="00ED75DD">
        <w:rPr>
          <w:rFonts w:asciiTheme="minorBidi" w:eastAsia="Traditional Arabic" w:hAnsiTheme="minorBidi" w:cstheme="minorBidi"/>
          <w:bCs/>
          <w:sz w:val="32"/>
          <w:szCs w:val="32"/>
          <w:rtl/>
        </w:rPr>
        <w:t>المحكمة</w:t>
      </w:r>
    </w:p>
    <w:p w:rsidR="00ED75DD" w:rsidRDefault="00ED75DD" w:rsidP="005805A6">
      <w:pPr>
        <w:pStyle w:val="normal"/>
        <w:spacing w:line="240" w:lineRule="auto"/>
        <w:ind w:left="-1" w:firstLine="544"/>
        <w:rPr>
          <w:rFonts w:asciiTheme="minorBidi" w:eastAsia="Traditional Arabic" w:hAnsiTheme="minorBidi" w:cstheme="minorBidi"/>
          <w:b/>
          <w:sz w:val="32"/>
          <w:szCs w:val="32"/>
        </w:rPr>
      </w:pPr>
      <w:r>
        <w:rPr>
          <w:rFonts w:asciiTheme="minorBidi" w:eastAsia="Traditional Arabic" w:hAnsiTheme="minorBidi" w:cstheme="minorBidi"/>
          <w:b/>
          <w:sz w:val="32"/>
          <w:szCs w:val="32"/>
          <w:rtl/>
        </w:rPr>
        <w:t>بعد الاطلاع على الأوراق، وسماع الإيضاحات والمداولة قانوناً.</w:t>
      </w:r>
    </w:p>
    <w:p w:rsidR="00ED75DD" w:rsidRDefault="00ED75DD" w:rsidP="005805A6">
      <w:pPr>
        <w:pStyle w:val="normal"/>
        <w:spacing w:line="240" w:lineRule="auto"/>
        <w:ind w:left="-1" w:firstLine="544"/>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ومن حيث إن الطاعن يطلب الحكم بقبول الطعن شكلاً ,وفي الموضوع بإلغاء قرارات رئيس الجامعة بإحالة الطاعن الي مجلس التأديب أعضاء هيئة التدريس بجامعة الوادي الجديد  أرقام  62 لسنة 2021 الصادر بتاريخ 4/4/2021 , 58 لسنة 2021 الصادر بتاريخ 30/3/2021 , 55 لسنة 2021 الصادر بتاريخ 24/3/2021 ,ورقم 52 لسنة 2021 الصادر بتاريخ 20/3/2021 واعتبارها كأن لم تكن مع ما يترتب علي ذلك من </w:t>
      </w:r>
      <w:r>
        <w:rPr>
          <w:rFonts w:asciiTheme="minorBidi" w:eastAsia="Traditional Arabic" w:hAnsiTheme="minorBidi" w:cstheme="minorBidi" w:hint="cs"/>
          <w:sz w:val="32"/>
          <w:szCs w:val="32"/>
          <w:rtl/>
        </w:rPr>
        <w:t>آثار</w:t>
      </w:r>
      <w:r>
        <w:rPr>
          <w:rFonts w:asciiTheme="minorBidi" w:eastAsia="Traditional Arabic" w:hAnsiTheme="minorBidi" w:cstheme="minorBidi"/>
          <w:sz w:val="32"/>
          <w:szCs w:val="32"/>
          <w:rtl/>
        </w:rPr>
        <w:t xml:space="preserve"> , </w:t>
      </w:r>
      <w:r>
        <w:rPr>
          <w:rFonts w:asciiTheme="minorBidi" w:eastAsia="Traditional Arabic" w:hAnsiTheme="minorBidi" w:cstheme="minorBidi" w:hint="cs"/>
          <w:sz w:val="32"/>
          <w:szCs w:val="32"/>
          <w:rtl/>
        </w:rPr>
        <w:t>وإلزام</w:t>
      </w:r>
      <w:r>
        <w:rPr>
          <w:rFonts w:asciiTheme="minorBidi" w:eastAsia="Traditional Arabic" w:hAnsiTheme="minorBidi" w:cstheme="minorBidi"/>
          <w:sz w:val="32"/>
          <w:szCs w:val="32"/>
          <w:rtl/>
        </w:rPr>
        <w:t xml:space="preserve"> جهة </w:t>
      </w:r>
      <w:r>
        <w:rPr>
          <w:rFonts w:asciiTheme="minorBidi" w:eastAsia="Traditional Arabic" w:hAnsiTheme="minorBidi" w:cstheme="minorBidi" w:hint="cs"/>
          <w:sz w:val="32"/>
          <w:szCs w:val="32"/>
          <w:rtl/>
        </w:rPr>
        <w:t>الإدارية</w:t>
      </w:r>
      <w:r>
        <w:rPr>
          <w:rFonts w:asciiTheme="minorBidi" w:eastAsia="Traditional Arabic" w:hAnsiTheme="minorBidi" w:cstheme="minorBidi"/>
          <w:sz w:val="32"/>
          <w:szCs w:val="32"/>
          <w:rtl/>
        </w:rPr>
        <w:t xml:space="preserve"> المصروفات وتنفيذ الحكم بمسودته.</w:t>
      </w:r>
    </w:p>
    <w:p w:rsidR="00ED75DD" w:rsidRDefault="00ED75DD" w:rsidP="005805A6">
      <w:pPr>
        <w:pStyle w:val="normal"/>
        <w:spacing w:line="240" w:lineRule="auto"/>
        <w:ind w:left="-1" w:firstLine="544"/>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ومن حيث إن دعوى الإلغاء هي خصومة عينية مناطها اختصام القرار الإداري في ذاته استهدافاً لمراقبة مشروعيته</w:t>
      </w:r>
      <w:r>
        <w:rPr>
          <w:rFonts w:asciiTheme="minorBidi" w:eastAsia="Traditional Arabic" w:hAnsiTheme="minorBidi" w:cstheme="minorBidi"/>
          <w:b/>
          <w:bCs/>
          <w:sz w:val="32"/>
          <w:szCs w:val="32"/>
          <w:rtl/>
        </w:rPr>
        <w:t>،</w:t>
      </w:r>
      <w:r>
        <w:rPr>
          <w:rFonts w:asciiTheme="minorBidi" w:eastAsia="Traditional Arabic" w:hAnsiTheme="minorBidi" w:cstheme="minorBidi"/>
          <w:sz w:val="32"/>
          <w:szCs w:val="32"/>
          <w:rtl/>
        </w:rPr>
        <w:t xml:space="preserve"> فيشترط لقبول دعوي الإلغاء أن يكون ثمة قرار إداري نهائي موجود وقائم ومنتج لآثاره عند إقامة الدعوى، فإذا تخلف هذا الشرط كانت الدعوى غير مقبولة شكلاً، والقرار الإداري الذي يجب أن تنصب عليه دعوى الإلغاء هو إفصاح الإدارة في الشكل الذي يتطلبه القانون عن إرادتها الملزمة بما لها من سلطة عامة بمقتضي القوانين واللوائح، وذلك بقصد إحداث مركز قانوني بشكل معين، والقرار الإداري قد يكون قراراً ايجابياً، وهو قرار صريح تصدره جهة الإدارة بالمنح أو المنع فيتجلى موقفها الايجابي إزاء الطاعن، وقد يكون قراراً سلبياً وهو تعبير عن موقف سلبي للإدارة، فهي لا تعلن عن إرادتها للسير في اتجاه أو آخر بالنسبة للأمر الواجب عليها اتخاذ موقف بشأنه، وإن كانت في ذات الوقت تعلن عن إرادتها الصريحة في الامتناع عن قرار كان يتعين عليها إصداره. (المحكمة الإدارية العليا في الطعن رقم 44031 لسنة 56ق.ع - بجلسة 24/11/2018).</w:t>
      </w:r>
    </w:p>
    <w:p w:rsidR="00ED75DD" w:rsidRDefault="00ED75DD" w:rsidP="005805A6">
      <w:pPr>
        <w:pStyle w:val="normal"/>
        <w:spacing w:line="240" w:lineRule="auto"/>
        <w:ind w:left="-1" w:firstLine="544"/>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ومن حيث إنه لا يجوز الطعن استقلالاً على القرارات الصادرة بالإحالة للتحقيق أو مجالس التأديب والصلاحية لأنها لا تعد قرارات إدارية بالمعنى المتعارف عليه في القرار الإداري، لأنها مجرد تصرفات إدارية للجهة الإدارية مبنية على تحقيقات سابقة وشكاوى أو تصرفات من المحال، وتتم الإحالة بموجبها بعد التحقيق وقيام الأدلة الكافية لدى جهات التحقيق بنشوء مخالفة تأديبية تستوجب المحاكمة التأديبية، وبالتالي فلا يعد قرار الجهة الإدارية بالإحالة قراراً إدارياً يجوز الطعن عليه استقلالاً بالإلغاء، ومن ثم فلا يستوجب التعويض عن هذا القرار أو التصرف فيه، حتى لو حكم فيما بعد بالبراءة من مجلس التأديب أو من المحكمة المختصة. (المحكمة الإدارية العليا في الطعن رقم 3906 لسنة 59ق.ع بجلسة 20/12/2015).</w:t>
      </w:r>
    </w:p>
    <w:p w:rsidR="00ED75DD" w:rsidRDefault="00ED75DD" w:rsidP="005805A6">
      <w:pPr>
        <w:pStyle w:val="normal"/>
        <w:spacing w:line="240" w:lineRule="auto"/>
        <w:ind w:left="-1" w:firstLine="544"/>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وقد جرى قضاء المحكمة الإدارية العليا على أن القرار الصادر بإحالة العامل إلي المحاكمة التأديبية أو إلي مجلس التأديب لا يرقي إلي مرتبة القرار الإداري النهائي الذي يختص القضاء الإداري بالفصل في طلب إلغائه مستقلا عن الدعوى التأديبية؛ لان الأثر الذي يستهدفه القرار الإداري بالمدلول الاصطلاحي لهذه العبارة هو الهدف النهائي الذي تتجه إليه نية الجهة الإدارية في مجال إنشاء أو تعديل المراكز القانونية لذوي الشأن، في حين  أن القرار الصادر بإحالة الموظف إلي التحقيق أو إلي المحاكمة التأديبية وان كان يترتب عليه التأثير في المركز القانوني للموظف من ناحية اعتباره محالا إلي التحقيق أو إلي المحاكمة التأديبية، إلا أن هذه الإحالة ليست هدفا نهائيا مقصودا لذاته في هذا المجال وإنما مجرد تمهيد للنظر في أمر الموظف والتحقق مما إذا كان هناك ما يستوجب مؤاخذته تأديبيا من عدمه. وبهذه </w:t>
      </w:r>
      <w:r>
        <w:rPr>
          <w:rFonts w:asciiTheme="minorBidi" w:eastAsia="Traditional Arabic" w:hAnsiTheme="minorBidi" w:cstheme="minorBidi"/>
          <w:sz w:val="32"/>
          <w:szCs w:val="32"/>
          <w:rtl/>
        </w:rPr>
        <w:lastRenderedPageBreak/>
        <w:t>المثابة فإن القرار المذكور لا ينطوي على تعديل نهائي في المركز القانوني للموظف ولا يعد بالتالي قرارا إداريا نهائيا مما يجوز الطعن فيه علي استقلال، وغني عن القول أنه لا وجه للتحدي في هذا الخصوص بما هو مقرر في قانون مجلس الدولة من اختصاص محاكم مجلس الدولة بالفصل في كافة المنازعات الإدارية لأن القرار الصادر بإحالة الموظف  إلي المحاكمة التأديبية باعتباره إجراء من إجراءات المحاكمة تعد المنازعة فيه ضمن المنازعات المتفرعة عن الدعوى ومن ثم لا تقبل هذه المنازعة على استقلال وإنما يتعين أن يتم ذلك بمناسبة الطعن في الحكم الذي يصدر في تلك الدعوى (المحكمة الإدارية العليا في الطعن رقم 996 لسنة 25ق.ع  بجلسة 12/5/1984).</w:t>
      </w:r>
    </w:p>
    <w:p w:rsidR="00ED75DD" w:rsidRDefault="00ED75DD" w:rsidP="005805A6">
      <w:pPr>
        <w:pStyle w:val="normal"/>
        <w:spacing w:line="240" w:lineRule="auto"/>
        <w:ind w:left="-1" w:firstLine="544"/>
        <w:jc w:val="both"/>
        <w:rPr>
          <w:rFonts w:asciiTheme="minorBidi" w:eastAsia="Traditional Arabic" w:hAnsiTheme="minorBidi" w:cstheme="minorBidi"/>
          <w:sz w:val="32"/>
          <w:szCs w:val="32"/>
        </w:rPr>
      </w:pPr>
      <w:bookmarkStart w:id="0" w:name="_gjdgxs"/>
      <w:bookmarkEnd w:id="0"/>
      <w:r>
        <w:rPr>
          <w:rFonts w:asciiTheme="minorBidi" w:eastAsia="Traditional Arabic" w:hAnsiTheme="minorBidi" w:cstheme="minorBidi"/>
          <w:sz w:val="32"/>
          <w:szCs w:val="32"/>
          <w:rtl/>
        </w:rPr>
        <w:t xml:space="preserve">ومن حيث إنه متى كان ما تقدم، وكان الثابت بالأوراق أن الطاعن يشغل وظيفة أستاذ بكلية العلوم جامعة الوادي الجديد ، وأنه تم إحالته لمجلس تأديب أعضاء هيئة التدريس بناء علي عدة قرارات صادرة من رئيس الجامعة، وكانت قرارات رئيس الجامعة بالإحالة إلى مجلس التأديب لا تعد قرارات إدارية نهائية بالمعنى الذى استقر عليه قضاء مجلس الدولة، فهى لا تعدو أن تكون مجرد إجراءات تمهيدية الغرض منها البدء فى مساءلة الطاعن تأديبيا عن المخالفات المنسوبة إليه، ومن ثم لا يجوز الطعن عليها استقلالا لانتفاء صفة القرار الإدارى عنها. </w:t>
      </w:r>
    </w:p>
    <w:p w:rsidR="00ED75DD" w:rsidRDefault="00ED75DD" w:rsidP="005805A6">
      <w:pPr>
        <w:pStyle w:val="normal"/>
        <w:tabs>
          <w:tab w:val="left" w:pos="10432"/>
        </w:tabs>
        <w:spacing w:line="240" w:lineRule="auto"/>
        <w:ind w:left="-1" w:firstLine="544"/>
        <w:jc w:val="both"/>
        <w:rPr>
          <w:rFonts w:asciiTheme="minorBidi" w:eastAsia="Traditional Arabic" w:hAnsiTheme="minorBidi" w:cstheme="minorBidi"/>
          <w:sz w:val="32"/>
          <w:szCs w:val="32"/>
          <w:highlight w:val="white"/>
        </w:rPr>
      </w:pPr>
      <w:r>
        <w:rPr>
          <w:rFonts w:asciiTheme="minorBidi" w:eastAsia="Traditional Arabic" w:hAnsiTheme="minorBidi" w:cstheme="minorBidi"/>
          <w:sz w:val="32"/>
          <w:szCs w:val="32"/>
          <w:rtl/>
        </w:rPr>
        <w:t>ومن حيث أنه من يخسر الدعوي يلزم بمصروفاتها عملا بنص المادة 184 مرافعات.</w:t>
      </w:r>
    </w:p>
    <w:p w:rsidR="00ED75DD" w:rsidRPr="005805A6" w:rsidRDefault="00ED75DD" w:rsidP="005805A6">
      <w:pPr>
        <w:pStyle w:val="normal"/>
        <w:spacing w:line="240" w:lineRule="auto"/>
        <w:ind w:left="-1" w:firstLine="544"/>
        <w:jc w:val="center"/>
        <w:rPr>
          <w:rFonts w:asciiTheme="minorBidi" w:eastAsia="Traditional Arabic" w:hAnsiTheme="minorBidi" w:cstheme="minorBidi"/>
          <w:bCs/>
          <w:sz w:val="32"/>
          <w:szCs w:val="32"/>
          <w:u w:val="single"/>
        </w:rPr>
      </w:pPr>
      <w:r w:rsidRPr="005805A6">
        <w:rPr>
          <w:rFonts w:asciiTheme="minorBidi" w:eastAsia="Traditional Arabic" w:hAnsiTheme="minorBidi" w:cstheme="minorBidi"/>
          <w:bCs/>
          <w:sz w:val="32"/>
          <w:szCs w:val="32"/>
          <w:u w:val="single"/>
          <w:rtl/>
        </w:rPr>
        <w:t>فلهذه الأسباب</w:t>
      </w:r>
    </w:p>
    <w:p w:rsidR="00A50EA8" w:rsidRPr="00ED75DD" w:rsidRDefault="00ED75DD" w:rsidP="005805A6">
      <w:pPr>
        <w:pStyle w:val="normal"/>
        <w:spacing w:line="240" w:lineRule="auto"/>
        <w:ind w:left="-1" w:firstLine="544"/>
        <w:jc w:val="both"/>
        <w:rPr>
          <w:rFonts w:asciiTheme="minorBidi" w:eastAsia="Traditional Arabic" w:hAnsiTheme="minorBidi" w:cstheme="minorBidi"/>
          <w:b/>
          <w:sz w:val="32"/>
          <w:szCs w:val="32"/>
          <w:rtl/>
        </w:rPr>
      </w:pPr>
      <w:bookmarkStart w:id="1" w:name="_30j0zll"/>
      <w:bookmarkEnd w:id="1"/>
      <w:r>
        <w:rPr>
          <w:rFonts w:asciiTheme="minorBidi" w:eastAsia="Traditional Arabic" w:hAnsiTheme="minorBidi" w:cstheme="minorBidi"/>
          <w:b/>
          <w:sz w:val="32"/>
          <w:szCs w:val="32"/>
          <w:rtl/>
        </w:rPr>
        <w:t xml:space="preserve">حكمت المحكمة: بعدم قبول الطعن </w:t>
      </w:r>
      <w:r>
        <w:rPr>
          <w:rFonts w:asciiTheme="minorBidi" w:eastAsia="Traditional Arabic" w:hAnsiTheme="minorBidi" w:cstheme="minorBidi" w:hint="cs"/>
          <w:b/>
          <w:sz w:val="32"/>
          <w:szCs w:val="32"/>
          <w:rtl/>
        </w:rPr>
        <w:t>لانتفاء</w:t>
      </w:r>
      <w:r>
        <w:rPr>
          <w:rFonts w:asciiTheme="minorBidi" w:eastAsia="Traditional Arabic" w:hAnsiTheme="minorBidi" w:cstheme="minorBidi"/>
          <w:b/>
          <w:sz w:val="32"/>
          <w:szCs w:val="32"/>
          <w:rtl/>
        </w:rPr>
        <w:t xml:space="preserve"> القرار الإداري، مع </w:t>
      </w:r>
      <w:r>
        <w:rPr>
          <w:rFonts w:asciiTheme="minorBidi" w:eastAsia="Traditional Arabic" w:hAnsiTheme="minorBidi" w:cstheme="minorBidi" w:hint="cs"/>
          <w:b/>
          <w:sz w:val="32"/>
          <w:szCs w:val="32"/>
          <w:rtl/>
        </w:rPr>
        <w:t>إلزام</w:t>
      </w:r>
      <w:r>
        <w:rPr>
          <w:rFonts w:asciiTheme="minorBidi" w:eastAsia="Traditional Arabic" w:hAnsiTheme="minorBidi" w:cstheme="minorBidi"/>
          <w:b/>
          <w:sz w:val="32"/>
          <w:szCs w:val="32"/>
          <w:rtl/>
        </w:rPr>
        <w:t xml:space="preserve"> الطاعن المصروفات .</w:t>
      </w:r>
    </w:p>
    <w:p w:rsidR="006C44F1" w:rsidRDefault="006C44F1" w:rsidP="005805A6">
      <w:pPr>
        <w:bidi/>
        <w:spacing w:after="200"/>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27E" w:rsidRDefault="00E8527E">
      <w:r>
        <w:separator/>
      </w:r>
    </w:p>
  </w:endnote>
  <w:endnote w:type="continuationSeparator" w:id="1">
    <w:p w:rsidR="00E8527E" w:rsidRDefault="00E85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3085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3085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805A6">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27E" w:rsidRDefault="00E8527E">
      <w:r>
        <w:separator/>
      </w:r>
    </w:p>
  </w:footnote>
  <w:footnote w:type="continuationSeparator" w:id="1">
    <w:p w:rsidR="00E8527E" w:rsidRDefault="00E85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D75DD">
          <w:rPr>
            <w:rFonts w:hint="cs"/>
            <w:sz w:val="28"/>
            <w:szCs w:val="28"/>
            <w:u w:val="single"/>
            <w:rtl/>
            <w:lang w:bidi="ar-EG"/>
          </w:rPr>
          <w:t>في الطعن رقم 59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8887070"/>
    <w:multiLevelType w:val="multilevel"/>
    <w:tmpl w:val="E0C0A64E"/>
    <w:lvl w:ilvl="0">
      <w:numFmt w:val="bullet"/>
      <w:lvlText w:val="-"/>
      <w:lvlJc w:val="left"/>
      <w:pPr>
        <w:ind w:left="720" w:right="15" w:hanging="360"/>
      </w:pPr>
      <w:rPr>
        <w:rFonts w:ascii="Traditional Arabic" w:eastAsia="Traditional Arabic" w:hAnsi="Traditional Arabic" w:cs="Traditional Arabic"/>
      </w:rPr>
    </w:lvl>
    <w:lvl w:ilvl="1">
      <w:start w:val="1"/>
      <w:numFmt w:val="bullet"/>
      <w:lvlText w:val="o"/>
      <w:lvlJc w:val="left"/>
      <w:pPr>
        <w:ind w:left="1440" w:right="735" w:hanging="360"/>
      </w:pPr>
      <w:rPr>
        <w:rFonts w:ascii="Courier New" w:eastAsia="Courier New" w:hAnsi="Courier New" w:cs="Courier New"/>
      </w:rPr>
    </w:lvl>
    <w:lvl w:ilvl="2">
      <w:start w:val="1"/>
      <w:numFmt w:val="bullet"/>
      <w:lvlText w:val="▪"/>
      <w:lvlJc w:val="left"/>
      <w:pPr>
        <w:ind w:left="2160" w:right="1455" w:hanging="360"/>
      </w:pPr>
      <w:rPr>
        <w:rFonts w:ascii="Noto Sans Symbols" w:eastAsia="Noto Sans Symbols" w:hAnsi="Noto Sans Symbols" w:cs="Noto Sans Symbols"/>
      </w:rPr>
    </w:lvl>
    <w:lvl w:ilvl="3">
      <w:start w:val="1"/>
      <w:numFmt w:val="bullet"/>
      <w:lvlText w:val="●"/>
      <w:lvlJc w:val="left"/>
      <w:pPr>
        <w:ind w:left="2880" w:right="2175" w:hanging="360"/>
      </w:pPr>
      <w:rPr>
        <w:rFonts w:ascii="Noto Sans Symbols" w:eastAsia="Noto Sans Symbols" w:hAnsi="Noto Sans Symbols" w:cs="Noto Sans Symbols"/>
      </w:rPr>
    </w:lvl>
    <w:lvl w:ilvl="4">
      <w:start w:val="1"/>
      <w:numFmt w:val="bullet"/>
      <w:lvlText w:val="o"/>
      <w:lvlJc w:val="left"/>
      <w:pPr>
        <w:ind w:left="3600" w:right="2895" w:hanging="360"/>
      </w:pPr>
      <w:rPr>
        <w:rFonts w:ascii="Courier New" w:eastAsia="Courier New" w:hAnsi="Courier New" w:cs="Courier New"/>
      </w:rPr>
    </w:lvl>
    <w:lvl w:ilvl="5">
      <w:start w:val="1"/>
      <w:numFmt w:val="bullet"/>
      <w:lvlText w:val="▪"/>
      <w:lvlJc w:val="left"/>
      <w:pPr>
        <w:ind w:left="4320" w:right="3615" w:hanging="360"/>
      </w:pPr>
      <w:rPr>
        <w:rFonts w:ascii="Noto Sans Symbols" w:eastAsia="Noto Sans Symbols" w:hAnsi="Noto Sans Symbols" w:cs="Noto Sans Symbols"/>
      </w:rPr>
    </w:lvl>
    <w:lvl w:ilvl="6">
      <w:start w:val="1"/>
      <w:numFmt w:val="bullet"/>
      <w:lvlText w:val="●"/>
      <w:lvlJc w:val="left"/>
      <w:pPr>
        <w:ind w:left="5040" w:right="4335" w:hanging="360"/>
      </w:pPr>
      <w:rPr>
        <w:rFonts w:ascii="Noto Sans Symbols" w:eastAsia="Noto Sans Symbols" w:hAnsi="Noto Sans Symbols" w:cs="Noto Sans Symbols"/>
      </w:rPr>
    </w:lvl>
    <w:lvl w:ilvl="7">
      <w:start w:val="1"/>
      <w:numFmt w:val="bullet"/>
      <w:lvlText w:val="o"/>
      <w:lvlJc w:val="left"/>
      <w:pPr>
        <w:ind w:left="5760" w:right="5055" w:hanging="360"/>
      </w:pPr>
      <w:rPr>
        <w:rFonts w:ascii="Courier New" w:eastAsia="Courier New" w:hAnsi="Courier New" w:cs="Courier New"/>
      </w:rPr>
    </w:lvl>
    <w:lvl w:ilvl="8">
      <w:start w:val="1"/>
      <w:numFmt w:val="bullet"/>
      <w:lvlText w:val="▪"/>
      <w:lvlJc w:val="left"/>
      <w:pPr>
        <w:ind w:left="6480" w:right="5775" w:hanging="360"/>
      </w:pPr>
      <w:rPr>
        <w:rFonts w:ascii="Noto Sans Symbols" w:eastAsia="Noto Sans Symbols" w:hAnsi="Noto Sans Symbols" w:cs="Noto Sans Symbols"/>
      </w:r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1FB"/>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6A"/>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509F"/>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6BB"/>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5A6"/>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74"/>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58"/>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6F17"/>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854"/>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098"/>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27E"/>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0C86"/>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D75DD"/>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normal">
    <w:name w:val="normal"/>
    <w:rsid w:val="00ED75DD"/>
    <w:pPr>
      <w:bidi/>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36360416">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0C443E"/>
    <w:rsid w:val="00101DBD"/>
    <w:rsid w:val="0010693C"/>
    <w:rsid w:val="00122DD9"/>
    <w:rsid w:val="00147021"/>
    <w:rsid w:val="001471F2"/>
    <w:rsid w:val="001C0DDB"/>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07896"/>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64119"/>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1017</Words>
  <Characters>5800</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2020-04-13T04:27:00Z</dcterms:modified>
  <cp:contentStatus>في الطعن رقم 59 لسنة 56 ق.</cp:contentStatus>
</cp:coreProperties>
</file>