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E4E0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E4E0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E4E03">
        <w:rPr>
          <w:rFonts w:ascii="Arial" w:hAnsi="Arial" w:cs="Arial" w:hint="cs"/>
          <w:sz w:val="32"/>
          <w:szCs w:val="32"/>
          <w:rtl/>
          <w:lang w:bidi="ar-EG"/>
        </w:rPr>
        <w:t>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8E4E0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8E4E03">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6000E">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170A58">
            <w:rPr>
              <w:rFonts w:ascii="Arial" w:hAnsi="Arial" w:cs="Arial" w:hint="cs"/>
              <w:sz w:val="32"/>
              <w:szCs w:val="32"/>
              <w:rtl/>
              <w:lang w:bidi="ar-EG"/>
            </w:rPr>
            <w:t>15</w:t>
          </w:r>
          <w:r>
            <w:rPr>
              <w:rFonts w:ascii="Arial" w:hAnsi="Arial" w:cs="Arial" w:hint="cs"/>
              <w:sz w:val="32"/>
              <w:szCs w:val="32"/>
              <w:rtl/>
              <w:lang w:bidi="ar-EG"/>
            </w:rPr>
            <w:t xml:space="preserve"> لسنة </w:t>
          </w:r>
          <w:r w:rsidR="00170A58">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170A58" w:rsidRPr="00170A58" w:rsidRDefault="00170A58" w:rsidP="00170A58">
      <w:pPr>
        <w:tabs>
          <w:tab w:val="center" w:pos="4256"/>
        </w:tabs>
        <w:bidi/>
        <w:spacing w:line="360" w:lineRule="exact"/>
        <w:ind w:left="-24"/>
        <w:jc w:val="center"/>
        <w:outlineLvl w:val="0"/>
        <w:rPr>
          <w:rFonts w:ascii="Arial" w:hAnsi="Arial" w:cs="Arial"/>
          <w:b/>
          <w:bCs/>
          <w:sz w:val="32"/>
          <w:szCs w:val="32"/>
        </w:rPr>
      </w:pPr>
      <w:r w:rsidRPr="00170A58">
        <w:rPr>
          <w:rFonts w:ascii="Arial" w:hAnsi="Arial" w:cs="Arial"/>
          <w:b/>
          <w:bCs/>
          <w:sz w:val="32"/>
          <w:szCs w:val="32"/>
          <w:rtl/>
        </w:rPr>
        <w:t>المقام من</w:t>
      </w:r>
    </w:p>
    <w:p w:rsidR="00170A58" w:rsidRPr="00170A58" w:rsidRDefault="00170A58" w:rsidP="00170A58">
      <w:pPr>
        <w:tabs>
          <w:tab w:val="center" w:pos="4256"/>
        </w:tabs>
        <w:bidi/>
        <w:spacing w:line="360" w:lineRule="exact"/>
        <w:ind w:left="-24"/>
        <w:jc w:val="center"/>
        <w:outlineLvl w:val="0"/>
        <w:rPr>
          <w:rFonts w:ascii="Arial" w:hAnsi="Arial" w:cs="Arial"/>
          <w:sz w:val="32"/>
          <w:szCs w:val="32"/>
          <w:lang w:bidi="ar-EG"/>
        </w:rPr>
      </w:pPr>
      <w:r w:rsidRPr="00170A58">
        <w:rPr>
          <w:rFonts w:ascii="Arial" w:hAnsi="Arial" w:cs="Arial"/>
          <w:sz w:val="32"/>
          <w:szCs w:val="32"/>
          <w:rtl/>
          <w:lang w:bidi="ar-EG"/>
        </w:rPr>
        <w:t>سامي شلبي السيد المليجي</w:t>
      </w:r>
    </w:p>
    <w:p w:rsidR="00170A58" w:rsidRPr="00170A58" w:rsidRDefault="00170A58" w:rsidP="00170A58">
      <w:pPr>
        <w:tabs>
          <w:tab w:val="center" w:pos="4256"/>
        </w:tabs>
        <w:bidi/>
        <w:spacing w:line="360" w:lineRule="exact"/>
        <w:ind w:left="-24"/>
        <w:jc w:val="center"/>
        <w:outlineLvl w:val="0"/>
        <w:rPr>
          <w:rFonts w:ascii="Arial" w:hAnsi="Arial" w:cs="Arial"/>
          <w:b/>
          <w:bCs/>
          <w:sz w:val="32"/>
          <w:szCs w:val="32"/>
        </w:rPr>
      </w:pPr>
      <w:r w:rsidRPr="00170A58">
        <w:rPr>
          <w:rFonts w:ascii="Arial" w:hAnsi="Arial" w:cs="Arial"/>
          <w:b/>
          <w:bCs/>
          <w:sz w:val="32"/>
          <w:szCs w:val="32"/>
          <w:rtl/>
        </w:rPr>
        <w:t>ضــــــــد</w:t>
      </w:r>
    </w:p>
    <w:p w:rsidR="00170A58" w:rsidRPr="00170A58" w:rsidRDefault="00170A58" w:rsidP="00170A58">
      <w:pPr>
        <w:tabs>
          <w:tab w:val="center" w:pos="4256"/>
        </w:tabs>
        <w:bidi/>
        <w:spacing w:line="360" w:lineRule="exact"/>
        <w:ind w:left="-24"/>
        <w:jc w:val="center"/>
        <w:outlineLvl w:val="0"/>
        <w:rPr>
          <w:rFonts w:ascii="Arial" w:hAnsi="Arial" w:cs="Arial"/>
          <w:sz w:val="32"/>
          <w:szCs w:val="32"/>
          <w:rtl/>
          <w:lang w:bidi="ar-EG"/>
        </w:rPr>
      </w:pPr>
      <w:r w:rsidRPr="00170A58">
        <w:rPr>
          <w:rFonts w:ascii="Arial" w:hAnsi="Arial" w:cs="Arial"/>
          <w:sz w:val="32"/>
          <w:szCs w:val="32"/>
          <w:rtl/>
          <w:lang w:bidi="ar-EG"/>
        </w:rPr>
        <w:t>رئيس الجهاز المركزي للمحاسبات ( بصفته )</w:t>
      </w:r>
    </w:p>
    <w:p w:rsidR="00170A58" w:rsidRPr="00170A58" w:rsidRDefault="00170A58" w:rsidP="00170A58">
      <w:pPr>
        <w:tabs>
          <w:tab w:val="center" w:pos="4256"/>
        </w:tabs>
        <w:bidi/>
        <w:spacing w:line="360" w:lineRule="exact"/>
        <w:ind w:left="-24"/>
        <w:jc w:val="center"/>
        <w:outlineLvl w:val="0"/>
        <w:rPr>
          <w:rFonts w:ascii="Arial" w:hAnsi="Arial" w:cs="Arial"/>
          <w:sz w:val="32"/>
          <w:szCs w:val="32"/>
          <w:rtl/>
          <w:lang w:bidi="ar-EG"/>
        </w:rPr>
      </w:pPr>
    </w:p>
    <w:p w:rsidR="00170A58" w:rsidRPr="00170A58" w:rsidRDefault="00170A58" w:rsidP="00170A58">
      <w:pPr>
        <w:tabs>
          <w:tab w:val="center" w:pos="4256"/>
        </w:tabs>
        <w:bidi/>
        <w:spacing w:line="320" w:lineRule="exact"/>
        <w:ind w:left="-24" w:hanging="63"/>
        <w:jc w:val="lowKashida"/>
        <w:outlineLvl w:val="0"/>
        <w:rPr>
          <w:rFonts w:ascii="Arial" w:hAnsi="Arial" w:cs="Arial"/>
          <w:b/>
          <w:bCs/>
          <w:sz w:val="32"/>
          <w:szCs w:val="32"/>
          <w:u w:val="single"/>
          <w:rtl/>
        </w:rPr>
      </w:pPr>
      <w:r w:rsidRPr="00170A58">
        <w:rPr>
          <w:rFonts w:ascii="Arial" w:hAnsi="Arial" w:cs="Arial"/>
          <w:b/>
          <w:bCs/>
          <w:sz w:val="32"/>
          <w:szCs w:val="32"/>
          <w:u w:val="single"/>
          <w:rtl/>
        </w:rPr>
        <w:t>الوقـائع :</w:t>
      </w:r>
    </w:p>
    <w:p w:rsidR="00170A58" w:rsidRPr="00170A58" w:rsidRDefault="00170A58" w:rsidP="00170A58">
      <w:pPr>
        <w:tabs>
          <w:tab w:val="left" w:pos="407"/>
          <w:tab w:val="left" w:pos="549"/>
          <w:tab w:val="center" w:pos="4256"/>
        </w:tabs>
        <w:bidi/>
        <w:spacing w:after="240"/>
        <w:ind w:left="-24" w:firstLine="567"/>
        <w:jc w:val="lowKashida"/>
        <w:outlineLvl w:val="0"/>
        <w:rPr>
          <w:rFonts w:ascii="Arial" w:hAnsi="Arial" w:cs="Arial"/>
          <w:sz w:val="32"/>
          <w:szCs w:val="32"/>
          <w:rtl/>
        </w:rPr>
      </w:pPr>
      <w:r w:rsidRPr="00170A58">
        <w:rPr>
          <w:rFonts w:ascii="Arial" w:hAnsi="Arial" w:cs="Arial"/>
          <w:sz w:val="32"/>
          <w:szCs w:val="32"/>
          <w:rtl/>
        </w:rPr>
        <w:t xml:space="preserve">أقام الطاعن هذا الطعن بموجب صحيفة أُودعت قلم </w:t>
      </w:r>
      <w:r w:rsidRPr="00170A58">
        <w:rPr>
          <w:rFonts w:ascii="Arial" w:hAnsi="Arial" w:cs="Arial"/>
          <w:sz w:val="32"/>
          <w:szCs w:val="32"/>
          <w:rtl/>
          <w:lang w:bidi="ar-EG"/>
        </w:rPr>
        <w:t xml:space="preserve">كتاب المحكمة </w:t>
      </w:r>
      <w:r w:rsidRPr="00170A58">
        <w:rPr>
          <w:rFonts w:ascii="Arial" w:hAnsi="Arial" w:cs="Arial"/>
          <w:sz w:val="32"/>
          <w:szCs w:val="32"/>
          <w:rtl/>
        </w:rPr>
        <w:t>بتاريخ 8/11/2021، وطلب في ختامها الحكم بقبول الطعن شكلاً وفي الموضوع بإلغاء قرار الجهاز المركزي للمحاسبات رقم 1709 لسنة 2021 فيما تضمنه من مجازاته بعقوبة التنبيه نتيجة للتحقيق الإداري رقم 176 لسنة 2020 لمخالفته لنص المادة 65 من لائحة العاملين بالجهاز المركزي للمحاسبات وإفتاء مجلس الدولة ، مع ما يترتب علي ذلك من أثار مع إلزام الجهاز المطعون ضده المصروفات ومقابل أتعاب المحاماة.</w:t>
      </w:r>
    </w:p>
    <w:p w:rsidR="00170A58" w:rsidRPr="00170A58" w:rsidRDefault="00170A58" w:rsidP="00170A58">
      <w:pPr>
        <w:tabs>
          <w:tab w:val="left" w:pos="407"/>
          <w:tab w:val="left" w:pos="549"/>
          <w:tab w:val="center" w:pos="4256"/>
        </w:tabs>
        <w:bidi/>
        <w:spacing w:after="240"/>
        <w:ind w:left="-24" w:firstLine="567"/>
        <w:jc w:val="lowKashida"/>
        <w:outlineLvl w:val="0"/>
        <w:rPr>
          <w:rFonts w:ascii="Arial" w:hAnsi="Arial" w:cs="Arial"/>
          <w:sz w:val="32"/>
          <w:szCs w:val="32"/>
          <w:rtl/>
        </w:rPr>
      </w:pPr>
      <w:r w:rsidRPr="00170A58">
        <w:rPr>
          <w:rFonts w:ascii="Arial" w:hAnsi="Arial" w:cs="Arial"/>
          <w:sz w:val="32"/>
          <w:szCs w:val="32"/>
          <w:rtl/>
        </w:rPr>
        <w:t xml:space="preserve">وذكر الطاعن شرحاً لطعنه أنه من العاملين بوظيفة رئيس قطاع  بالجهاز المركزي للمحاسبات، وتم اخطاره بصدور القرار رقم 1709 في 24/8/2021 بمجازاته بعقوبة التنبيه نتيجة للتحقيق رقم 176 لسنة 2020، وأضاف الطاعن بأنه تظلم من القرار المطعون عليه، إلا انه لم يرد علي تظلمه، ثم تقدم بطلب للجنة فض المنازعات، مما حدا بالطاعن إلى إقامة طعنه الماثل ناعياً على القرار المطعون فيه البطلان ومخالفة القانون لمرور أكثر من خمس سنوات علي </w:t>
      </w:r>
      <w:r w:rsidRPr="00170A58">
        <w:rPr>
          <w:rFonts w:ascii="Arial" w:hAnsi="Arial" w:cs="Arial" w:hint="cs"/>
          <w:sz w:val="32"/>
          <w:szCs w:val="32"/>
          <w:rtl/>
        </w:rPr>
        <w:t>ارتكاب</w:t>
      </w:r>
      <w:r w:rsidRPr="00170A58">
        <w:rPr>
          <w:rFonts w:ascii="Arial" w:hAnsi="Arial" w:cs="Arial"/>
          <w:sz w:val="32"/>
          <w:szCs w:val="32"/>
          <w:rtl/>
        </w:rPr>
        <w:t xml:space="preserve"> الواقعة المنسوبة إليه. </w:t>
      </w:r>
      <w:r w:rsidRPr="00170A58">
        <w:rPr>
          <w:rFonts w:ascii="Arial" w:hAnsi="Arial" w:cs="Arial" w:hint="cs"/>
          <w:sz w:val="32"/>
          <w:szCs w:val="32"/>
          <w:rtl/>
        </w:rPr>
        <w:t>واختتم</w:t>
      </w:r>
      <w:r w:rsidRPr="00170A58">
        <w:rPr>
          <w:rFonts w:ascii="Arial" w:hAnsi="Arial" w:cs="Arial"/>
          <w:sz w:val="32"/>
          <w:szCs w:val="32"/>
          <w:rtl/>
        </w:rPr>
        <w:t xml:space="preserve"> الطاعن صحيفة طعنه بالطلبات السالف بيانها.</w:t>
      </w:r>
    </w:p>
    <w:p w:rsidR="00170A58" w:rsidRPr="00170A58" w:rsidRDefault="00170A58" w:rsidP="00170A58">
      <w:pPr>
        <w:tabs>
          <w:tab w:val="left" w:pos="407"/>
          <w:tab w:val="left" w:pos="549"/>
          <w:tab w:val="center" w:pos="4256"/>
        </w:tabs>
        <w:bidi/>
        <w:spacing w:after="240"/>
        <w:ind w:left="-24" w:firstLine="567"/>
        <w:jc w:val="lowKashida"/>
        <w:outlineLvl w:val="0"/>
        <w:rPr>
          <w:rFonts w:ascii="Arial" w:hAnsi="Arial" w:cs="Arial"/>
          <w:sz w:val="32"/>
          <w:szCs w:val="32"/>
          <w:rtl/>
        </w:rPr>
      </w:pPr>
      <w:r w:rsidRPr="00170A58">
        <w:rPr>
          <w:rFonts w:ascii="Arial" w:hAnsi="Arial" w:cs="Arial"/>
          <w:sz w:val="32"/>
          <w:szCs w:val="32"/>
          <w:rtl/>
        </w:rPr>
        <w:t xml:space="preserve">وتحدد لنظر الطعن جلسة 22/12/2021 وتداولت المحكمة نظره على النحو المبين بمحاضر جلساتها، حيث قدم الطاعن حافظتي مستندات طويت علي المستندات المدونة بغلافها ومذكرة بدفاعه، وقدم الحاضر عن الجهاز حافظة مستندات طويت علي المدون بغلافها ومذكرة دفاع، وبذات الجلسة قررت المحكمة إصدار الحكم في الطعن بجلسة اليوم، ، وفيها صدر الحكم وأودعت مسودته المشتملة على أسبابه عند النطق به . </w:t>
      </w:r>
    </w:p>
    <w:p w:rsidR="00170A58" w:rsidRPr="00170A58" w:rsidRDefault="00170A58" w:rsidP="00170A58">
      <w:pPr>
        <w:tabs>
          <w:tab w:val="center" w:pos="4256"/>
        </w:tabs>
        <w:bidi/>
        <w:spacing w:after="240" w:line="320" w:lineRule="exact"/>
        <w:ind w:left="-24"/>
        <w:jc w:val="center"/>
        <w:outlineLvl w:val="0"/>
        <w:rPr>
          <w:rFonts w:ascii="Arial" w:hAnsi="Arial" w:cs="Arial"/>
          <w:b/>
          <w:bCs/>
          <w:sz w:val="32"/>
          <w:szCs w:val="32"/>
          <w:u w:val="single"/>
          <w:rtl/>
        </w:rPr>
      </w:pPr>
      <w:r w:rsidRPr="00170A58">
        <w:rPr>
          <w:rFonts w:ascii="Arial" w:hAnsi="Arial" w:cs="Arial"/>
          <w:b/>
          <w:bCs/>
          <w:sz w:val="32"/>
          <w:szCs w:val="32"/>
          <w:u w:val="single"/>
          <w:rtl/>
        </w:rPr>
        <w:t>المحـكمة</w:t>
      </w:r>
    </w:p>
    <w:p w:rsidR="00170A58" w:rsidRPr="00170A58" w:rsidRDefault="00170A58" w:rsidP="00170A58">
      <w:pPr>
        <w:tabs>
          <w:tab w:val="center" w:pos="0"/>
        </w:tabs>
        <w:bidi/>
        <w:spacing w:after="240"/>
        <w:ind w:left="-24" w:firstLine="567"/>
        <w:outlineLvl w:val="0"/>
        <w:rPr>
          <w:rFonts w:ascii="Arial" w:hAnsi="Arial" w:cs="Arial"/>
          <w:sz w:val="32"/>
          <w:szCs w:val="32"/>
          <w:rtl/>
        </w:rPr>
      </w:pPr>
      <w:r w:rsidRPr="00170A58">
        <w:rPr>
          <w:rFonts w:ascii="Arial" w:hAnsi="Arial" w:cs="Arial"/>
          <w:sz w:val="32"/>
          <w:szCs w:val="32"/>
          <w:rtl/>
        </w:rPr>
        <w:t xml:space="preserve">بعد </w:t>
      </w:r>
      <w:r w:rsidRPr="00170A58">
        <w:rPr>
          <w:rFonts w:ascii="Arial" w:hAnsi="Arial" w:cs="Arial" w:hint="cs"/>
          <w:sz w:val="32"/>
          <w:szCs w:val="32"/>
          <w:rtl/>
        </w:rPr>
        <w:t>الاطلاع</w:t>
      </w:r>
      <w:r w:rsidRPr="00170A58">
        <w:rPr>
          <w:rFonts w:ascii="Arial" w:hAnsi="Arial" w:cs="Arial"/>
          <w:sz w:val="32"/>
          <w:szCs w:val="32"/>
          <w:rtl/>
        </w:rPr>
        <w:t xml:space="preserve"> على الأوراق ، وسماع الإيضاحات والمداولة قانوناً.</w:t>
      </w:r>
    </w:p>
    <w:p w:rsidR="00170A58" w:rsidRPr="00170A58" w:rsidRDefault="00170A58" w:rsidP="00170A58">
      <w:pPr>
        <w:tabs>
          <w:tab w:val="center" w:pos="0"/>
        </w:tabs>
        <w:bidi/>
        <w:spacing w:after="240"/>
        <w:ind w:left="-24" w:firstLine="567"/>
        <w:jc w:val="both"/>
        <w:outlineLvl w:val="0"/>
        <w:rPr>
          <w:rFonts w:ascii="Arial" w:hAnsi="Arial" w:cs="Arial"/>
          <w:sz w:val="32"/>
          <w:szCs w:val="32"/>
          <w:rtl/>
        </w:rPr>
      </w:pPr>
      <w:r w:rsidRPr="00170A58">
        <w:rPr>
          <w:rFonts w:ascii="Arial" w:hAnsi="Arial" w:cs="Arial"/>
          <w:sz w:val="32"/>
          <w:szCs w:val="32"/>
          <w:rtl/>
        </w:rPr>
        <w:lastRenderedPageBreak/>
        <w:t>وحيث أن الطاعن يطلب الحكم  بقبول الطعن شكلاً، وفي الموضوع بإلغاء قرار رئيس الجهاز المركزي للمحاسبات رقم 1709 لسنة 2021 الصادر بتاريخ 24/8/2021  فيما تضمنه من  مجازاته بعقوبة التنبيه مع ما يترتب على ذلك من آثار.</w:t>
      </w:r>
    </w:p>
    <w:p w:rsidR="00170A58" w:rsidRPr="00170A58" w:rsidRDefault="00170A58" w:rsidP="00170A58">
      <w:pPr>
        <w:tabs>
          <w:tab w:val="center" w:pos="0"/>
        </w:tabs>
        <w:bidi/>
        <w:spacing w:after="240"/>
        <w:ind w:left="-24" w:firstLine="567"/>
        <w:jc w:val="both"/>
        <w:outlineLvl w:val="0"/>
        <w:rPr>
          <w:rFonts w:ascii="Arial" w:hAnsi="Arial" w:cs="Arial"/>
          <w:sz w:val="32"/>
          <w:szCs w:val="32"/>
          <w:shd w:val="clear" w:color="auto" w:fill="FFFFFF"/>
          <w:rtl/>
          <w:lang w:bidi="ar-EG"/>
        </w:rPr>
      </w:pPr>
      <w:r w:rsidRPr="00170A58">
        <w:rPr>
          <w:rFonts w:ascii="Arial" w:hAnsi="Arial" w:cs="Arial"/>
          <w:sz w:val="32"/>
          <w:szCs w:val="32"/>
          <w:shd w:val="clear" w:color="auto" w:fill="FFFFFF"/>
          <w:rtl/>
        </w:rPr>
        <w:t>ومن حيث إن قضاء المحكمة الإدارية العليا قد جرى على وجوب بحث مسألة القبول الشكلي بالنسبة لدعوى الإلغاء قبل التعرض لسقوط الدعوى </w:t>
      </w:r>
      <w:r w:rsidRPr="00170A58">
        <w:rPr>
          <w:rFonts w:ascii="Arial" w:hAnsi="Arial" w:cs="Arial"/>
          <w:sz w:val="32"/>
          <w:szCs w:val="32"/>
          <w:shd w:val="clear" w:color="auto" w:fill="FFFFFF"/>
          <w:rtl/>
          <w:lang w:bidi="ar-EG"/>
        </w:rPr>
        <w:t>بالتقادم</w:t>
      </w:r>
      <w:r w:rsidRPr="00170A58">
        <w:rPr>
          <w:rFonts w:ascii="Arial" w:hAnsi="Arial" w:cs="Arial"/>
          <w:sz w:val="32"/>
          <w:szCs w:val="32"/>
          <w:shd w:val="clear" w:color="auto" w:fill="FFFFFF"/>
          <w:rtl/>
        </w:rPr>
        <w:t> الطويل متى دفع بهذا السقوط باعتبار أن الدفع بالتقادم هو دفع موضوعي والحكم بقبوله هو قضاء في أصل الدعوى فيتعين أن يكون تاليا لبحث مسألة القبول الشكلي لدعوى الإلغاء</w:t>
      </w:r>
      <w:r w:rsidRPr="00170A58">
        <w:rPr>
          <w:rFonts w:ascii="Arial" w:hAnsi="Arial" w:cs="Arial"/>
          <w:sz w:val="32"/>
          <w:szCs w:val="32"/>
          <w:shd w:val="clear" w:color="auto" w:fill="FFFFFF"/>
        </w:rPr>
        <w:t>.</w:t>
      </w:r>
      <w:r w:rsidRPr="00170A58">
        <w:rPr>
          <w:rFonts w:ascii="Arial" w:hAnsi="Arial" w:cs="Arial"/>
          <w:sz w:val="32"/>
          <w:szCs w:val="32"/>
          <w:shd w:val="clear" w:color="auto" w:fill="FFFFFF"/>
          <w:rtl/>
        </w:rPr>
        <w:t xml:space="preserve"> </w:t>
      </w:r>
      <w:r w:rsidRPr="00170A58">
        <w:rPr>
          <w:rFonts w:ascii="Arial" w:hAnsi="Arial" w:cs="Arial" w:hint="cs"/>
          <w:sz w:val="32"/>
          <w:szCs w:val="32"/>
          <w:shd w:val="clear" w:color="auto" w:fill="FFFFFF"/>
          <w:rtl/>
        </w:rPr>
        <w:t>(المحكمة الإدارية العليا – الطعن رقم 506 لسنة 38 ق – جلسة 3/6/1995)</w:t>
      </w:r>
      <w:r w:rsidRPr="00170A58">
        <w:rPr>
          <w:rFonts w:ascii="Arial" w:hAnsi="Arial" w:cs="Arial"/>
          <w:sz w:val="32"/>
          <w:szCs w:val="32"/>
          <w:shd w:val="clear" w:color="auto" w:fill="FFFFFF"/>
          <w:rtl/>
          <w:lang w:bidi="ar-EG"/>
        </w:rPr>
        <w:t>.</w:t>
      </w:r>
    </w:p>
    <w:p w:rsidR="00170A58" w:rsidRPr="00170A58" w:rsidRDefault="00170A58" w:rsidP="00170A58">
      <w:pPr>
        <w:tabs>
          <w:tab w:val="center" w:pos="0"/>
        </w:tabs>
        <w:bidi/>
        <w:spacing w:after="240"/>
        <w:ind w:left="-24" w:firstLine="567"/>
        <w:jc w:val="both"/>
        <w:outlineLvl w:val="0"/>
        <w:rPr>
          <w:rFonts w:ascii="Arial" w:hAnsi="Arial" w:cs="Arial"/>
          <w:sz w:val="32"/>
          <w:szCs w:val="32"/>
          <w:rtl/>
          <w:lang w:bidi="ar-EG"/>
        </w:rPr>
      </w:pPr>
      <w:r w:rsidRPr="00170A58">
        <w:rPr>
          <w:rFonts w:ascii="Arial" w:hAnsi="Arial" w:cs="Arial"/>
          <w:sz w:val="32"/>
          <w:szCs w:val="32"/>
          <w:rtl/>
          <w:lang w:bidi="ar-EG"/>
        </w:rPr>
        <w:t>ومن حيث أنه عن شكل طلب إلغاء القرار المطعون فيه، فإن الثابت من الأوراق أن القرار المطعون عليه صدر بتاريخ 24/8/2021، وتظلم منه الطاعن بتاريخ 13/9/2021، وتقدم بطلب الي لجنة التوفيق في المنازعات بتاريخ 14/10/2021 ثم قام بإقامة طعنه الماثل بتاريخ 8/11/2021 فإن الطعن يكون مقاماً في المواعيد القانونية، بما يتعين معه القضاء بقبوله شكلاً .</w:t>
      </w:r>
    </w:p>
    <w:p w:rsidR="00170A58" w:rsidRPr="00170A58" w:rsidRDefault="00170A58" w:rsidP="00170A58">
      <w:pPr>
        <w:tabs>
          <w:tab w:val="center" w:pos="0"/>
        </w:tabs>
        <w:bidi/>
        <w:spacing w:after="240"/>
        <w:ind w:left="-24" w:firstLine="567"/>
        <w:jc w:val="both"/>
        <w:outlineLvl w:val="0"/>
        <w:rPr>
          <w:rFonts w:ascii="Arial" w:hAnsi="Arial" w:cs="Arial"/>
          <w:sz w:val="32"/>
          <w:szCs w:val="32"/>
          <w:rtl/>
        </w:rPr>
      </w:pPr>
      <w:r w:rsidRPr="00170A58">
        <w:rPr>
          <w:rFonts w:ascii="Arial" w:hAnsi="Arial" w:cs="Arial"/>
          <w:sz w:val="32"/>
          <w:szCs w:val="32"/>
          <w:rtl/>
        </w:rPr>
        <w:t>ومن حيث إنه عن الدفع المبدي من الطاعن بسقوط المخالفة التأديبية بالتقادم، فإن المادة رقم (65) من لائحة العاملين بالجهاز المركزي للمحاسبات الصادرة بقرار رئيس الجمهورية رقم 196 لسنة 1999 نصت علي أن "تنقضي الدعوى التأديبية بالنسبة للعامل الموجود بالخدمة بمضي ثلاث سنوات من تاريخ ارتكاب المخالفة.</w:t>
      </w:r>
    </w:p>
    <w:p w:rsidR="00170A58" w:rsidRPr="00170A58" w:rsidRDefault="00170A58" w:rsidP="00170A58">
      <w:pPr>
        <w:tabs>
          <w:tab w:val="center" w:pos="0"/>
        </w:tabs>
        <w:bidi/>
        <w:spacing w:after="240"/>
        <w:ind w:left="-24" w:firstLine="567"/>
        <w:jc w:val="both"/>
        <w:outlineLvl w:val="0"/>
        <w:rPr>
          <w:rFonts w:ascii="Arial" w:hAnsi="Arial" w:cs="Arial"/>
          <w:sz w:val="32"/>
          <w:szCs w:val="32"/>
          <w:rtl/>
        </w:rPr>
      </w:pPr>
      <w:r w:rsidRPr="00170A58">
        <w:rPr>
          <w:rFonts w:ascii="Arial" w:hAnsi="Arial" w:cs="Arial"/>
          <w:sz w:val="32"/>
          <w:szCs w:val="32"/>
          <w:rtl/>
        </w:rPr>
        <w:t xml:space="preserve"> وتقطع هذه المدة بأي إجراء من إجراءات التحقيق أو الاتهام أو المحاكمة أمام مجلس التأديب، وتسري المدة من جديد ابتداءاً من أخر إجراء،</w:t>
      </w:r>
    </w:p>
    <w:p w:rsidR="00170A58" w:rsidRPr="00170A58" w:rsidRDefault="00170A58" w:rsidP="00170A58">
      <w:pPr>
        <w:tabs>
          <w:tab w:val="center" w:pos="0"/>
        </w:tabs>
        <w:bidi/>
        <w:spacing w:after="240"/>
        <w:ind w:left="-24" w:firstLine="567"/>
        <w:jc w:val="both"/>
        <w:outlineLvl w:val="0"/>
        <w:rPr>
          <w:rFonts w:ascii="Arial" w:hAnsi="Arial" w:cs="Arial"/>
          <w:sz w:val="32"/>
          <w:szCs w:val="32"/>
        </w:rPr>
      </w:pPr>
      <w:r w:rsidRPr="00170A58">
        <w:rPr>
          <w:rFonts w:ascii="Arial" w:hAnsi="Arial" w:cs="Arial"/>
          <w:sz w:val="32"/>
          <w:szCs w:val="32"/>
          <w:rtl/>
        </w:rPr>
        <w:t xml:space="preserve"> وإذا تعدد المتهمون </w:t>
      </w:r>
      <w:r w:rsidRPr="00170A58">
        <w:rPr>
          <w:rFonts w:ascii="Arial" w:hAnsi="Arial" w:cs="Arial" w:hint="cs"/>
          <w:sz w:val="32"/>
          <w:szCs w:val="32"/>
          <w:rtl/>
        </w:rPr>
        <w:t>وانقطعت</w:t>
      </w:r>
      <w:r w:rsidRPr="00170A58">
        <w:rPr>
          <w:rFonts w:ascii="Arial" w:hAnsi="Arial" w:cs="Arial"/>
          <w:sz w:val="32"/>
          <w:szCs w:val="32"/>
          <w:rtl/>
        </w:rPr>
        <w:t xml:space="preserve"> المدة بالنسبة لأحدهم يترتب عليه انقطاعها بالنسبة للباقين ولو لم تكن قد اتخذت ضدهم إجراءات قاطعة للمدة، ومع ذلك إذا كون الفعل جريمة جنائية فلا تسقط الدعوى التأديبية إلا بسقوط الدعوى الجنائية ".</w:t>
      </w:r>
    </w:p>
    <w:p w:rsidR="00170A58" w:rsidRPr="00170A58" w:rsidRDefault="00170A58" w:rsidP="00170A58">
      <w:pPr>
        <w:tabs>
          <w:tab w:val="center" w:pos="0"/>
        </w:tabs>
        <w:bidi/>
        <w:spacing w:after="240"/>
        <w:ind w:left="-24" w:firstLine="567"/>
        <w:jc w:val="both"/>
        <w:outlineLvl w:val="0"/>
        <w:rPr>
          <w:rFonts w:ascii="Arial" w:hAnsi="Arial" w:cs="Arial"/>
          <w:sz w:val="32"/>
          <w:szCs w:val="32"/>
          <w:rtl/>
        </w:rPr>
      </w:pPr>
      <w:r w:rsidRPr="00170A58">
        <w:rPr>
          <w:rFonts w:ascii="Arial" w:hAnsi="Arial" w:cs="Arial"/>
          <w:sz w:val="32"/>
          <w:szCs w:val="32"/>
          <w:rtl/>
        </w:rPr>
        <w:t xml:space="preserve">وحيث أن مفاد ما تقدم أن المشرع قرر سقوط حق الجهة الإدارية في إقامة الدعوى التأديبية بشأن المخالفة التأديبية المنسوبة للعامل بمضي ثلاث سنوات من تاريخ </w:t>
      </w:r>
      <w:r w:rsidRPr="00170A58">
        <w:rPr>
          <w:rFonts w:ascii="Arial" w:hAnsi="Arial" w:cs="Arial" w:hint="cs"/>
          <w:sz w:val="32"/>
          <w:szCs w:val="32"/>
          <w:rtl/>
        </w:rPr>
        <w:t>ارتكابها</w:t>
      </w:r>
      <w:r w:rsidRPr="00170A58">
        <w:rPr>
          <w:rFonts w:ascii="Arial" w:hAnsi="Arial" w:cs="Arial"/>
          <w:sz w:val="32"/>
          <w:szCs w:val="32"/>
          <w:rtl/>
        </w:rPr>
        <w:t xml:space="preserve"> وان هذه </w:t>
      </w:r>
      <w:r w:rsidRPr="00170A58">
        <w:rPr>
          <w:rFonts w:ascii="Arial" w:hAnsi="Arial" w:cs="Arial" w:hint="cs"/>
          <w:sz w:val="32"/>
          <w:szCs w:val="32"/>
          <w:rtl/>
        </w:rPr>
        <w:t>المدة</w:t>
      </w:r>
      <w:r w:rsidRPr="00170A58">
        <w:rPr>
          <w:rFonts w:ascii="Arial" w:hAnsi="Arial" w:cs="Arial"/>
          <w:sz w:val="32"/>
          <w:szCs w:val="32"/>
          <w:rtl/>
        </w:rPr>
        <w:t xml:space="preserve"> تستطيل حال ارتكاب العامل لمخالفة إدارية تتضمن شقاً جنائياً فلا تسقط الدعوى التأديبية إلا بسقوط الدعوى الجنائية المقررة بالقانون ، وان للمحكمة التأديبية أن تقوم بتكييف الفعل المنسوب للعامل وبيان ما اذا كان يتضمن جريمة جنائية من عدمه، وان النيابة العامة هي الأمينة علي الدعوى الجنائية، فإذا ما انتهت إلي حفظ الدعوى أو الأمر بألا وجه لإقامتها انتفي الشق الجنائي عن المخالفة وعادت لأصلها كمخالفة إدارية تسقط بمضي ثلاث سنوات من تاريخ ارتكابها (المحكمة الإدارية العليا في الطعن رقم 8759 لسنة 49 ق.ع جلسة 27/12/2008).</w:t>
      </w:r>
    </w:p>
    <w:p w:rsidR="00170A58" w:rsidRPr="00170A58" w:rsidRDefault="00170A58" w:rsidP="00170A58">
      <w:pPr>
        <w:bidi/>
        <w:spacing w:after="240"/>
        <w:ind w:left="-24" w:firstLine="567"/>
        <w:jc w:val="lowKashida"/>
        <w:rPr>
          <w:rFonts w:ascii="Arial" w:hAnsi="Arial" w:cs="Arial"/>
          <w:sz w:val="32"/>
          <w:szCs w:val="32"/>
          <w:rtl/>
        </w:rPr>
      </w:pPr>
      <w:r w:rsidRPr="00170A58">
        <w:rPr>
          <w:rFonts w:ascii="Arial" w:hAnsi="Arial" w:cs="Arial"/>
          <w:sz w:val="32"/>
          <w:szCs w:val="32"/>
          <w:rtl/>
        </w:rPr>
        <w:t xml:space="preserve">ومن حيث ان قضاء المحكمة الإدارية العليا قد أستقر علي ان المشرع قصد من ترتيب حكم سقوط الدعوى التأديبية بعد أجل معين إلا يظل العقاب مسلطاً علي المتهم الأصل فيه البراءة مدة طويلة دون حسم فهو يمثل ضمانة أساسية للعاملين دون اتخاذ الجهة الإدارية من ارتكاب العامل لمخالفة تأديبية وسيله الي تهديده الي اجل غير مسمي عن طريق تسليط الاتهام عليه في اى وقت تشاء، وكذلك حث الجهة الإدارية علي إقامة الدعوى التأديبية خلال أجل معين قد يترتب علي تجاوزه ان تضيع معالم المخالفة وتختفي أدلتها، ومن ثم فإن صالح العامل وصالح المرافق يقتضيان </w:t>
      </w:r>
      <w:r>
        <w:rPr>
          <w:rFonts w:ascii="Arial" w:hAnsi="Arial" w:cs="Arial" w:hint="cs"/>
          <w:sz w:val="32"/>
          <w:szCs w:val="32"/>
          <w:rtl/>
        </w:rPr>
        <w:t>إ</w:t>
      </w:r>
      <w:r w:rsidRPr="00170A58">
        <w:rPr>
          <w:rFonts w:ascii="Arial" w:hAnsi="Arial" w:cs="Arial"/>
          <w:sz w:val="32"/>
          <w:szCs w:val="32"/>
          <w:rtl/>
        </w:rPr>
        <w:t xml:space="preserve">قامة الدعوى التأديبية خلال هذا </w:t>
      </w:r>
      <w:r w:rsidRPr="00170A58">
        <w:rPr>
          <w:rFonts w:ascii="Arial" w:hAnsi="Arial" w:cs="Arial"/>
          <w:sz w:val="32"/>
          <w:szCs w:val="32"/>
          <w:rtl/>
        </w:rPr>
        <w:lastRenderedPageBreak/>
        <w:t>الأجل وهو ثلاث سنوات من تاريخ ارتكابه المخالفة وإلا سقط الحق في إقامتها، وان السقوط في هذا المجال من النظام العام يؤكد ذلك ان المشرع قد ربط بين سقوط الدعوى التأديبية وسقوط الدعوى الجنائية وأستعمل في هذا المجال عبارة سقوط الدعوى الجنائية وهو تعبير لم يورده المشرع في قانون الإجراءات الجنائية مما يفهم منه أن المشرع في قانون العاملين المدنيين يعتبر السقوط والانقضاء مرادفين لمعني واحد ، وإذا كان المسلم به أن انقضاء الدعوى الجنائية من النظام العام فيكون الأمر كذلك بالنسبة لسقوط الدعوى التأديبية (المحكمة الإدارية العليا في الطعن رقم 336 لسنة 25 ق.عليا جلسة 31/3/1984).</w:t>
      </w:r>
    </w:p>
    <w:p w:rsidR="00170A58" w:rsidRPr="00170A58" w:rsidRDefault="00170A58" w:rsidP="00170A58">
      <w:pPr>
        <w:bidi/>
        <w:spacing w:after="240"/>
        <w:ind w:left="-24" w:firstLine="567"/>
        <w:jc w:val="lowKashida"/>
        <w:rPr>
          <w:rFonts w:ascii="Arial" w:hAnsi="Arial" w:cs="Arial"/>
          <w:sz w:val="32"/>
          <w:szCs w:val="32"/>
          <w:rtl/>
        </w:rPr>
      </w:pPr>
      <w:r w:rsidRPr="00170A58">
        <w:rPr>
          <w:rFonts w:ascii="Arial" w:hAnsi="Arial" w:cs="Arial"/>
          <w:sz w:val="32"/>
          <w:szCs w:val="32"/>
          <w:rtl/>
        </w:rPr>
        <w:t xml:space="preserve">ومن حيث إنه نزولا علي مقتضي ما تقدم ولما كان الثابت من الاوراق أن المخالفة المنسوبة للطاعن علي وفق ما جاء بأوراق الطعن </w:t>
      </w:r>
      <w:r w:rsidRPr="00170A58">
        <w:rPr>
          <w:rFonts w:ascii="Arial" w:hAnsi="Arial" w:cs="Arial" w:hint="cs"/>
          <w:sz w:val="32"/>
          <w:szCs w:val="32"/>
          <w:rtl/>
        </w:rPr>
        <w:t>ارتكبت</w:t>
      </w:r>
      <w:r w:rsidRPr="00170A58">
        <w:rPr>
          <w:rFonts w:ascii="Arial" w:hAnsi="Arial" w:cs="Arial"/>
          <w:sz w:val="32"/>
          <w:szCs w:val="32"/>
          <w:rtl/>
        </w:rPr>
        <w:t xml:space="preserve"> في الفترة من 7/10/2015 حتي 18/4/2016  وبُدي بفحصها وتحقيقها من قبل الجهاز بتاريخ 29/9/2020 من قبل الإدارة المركزية للتفتيش الفني ، كما تم البدء فى التحقيق فيها مع الطاعن بتاريخ 20/4/2021 بالتحقيق الإداري رقم 176 لسنة 2020، أى بعد انقضاء أكثر من ثلاث سنوات على تاريخ ارتكاب الواقعة، كما خلت أوراق الطعن كافة من قيام الجهاز بعمل أي إجراء قاطع للتقادم قبل تاريخ الفحص الواقع في 29/9/2020. كما تبين أيضاً أن المخالفة المنسوبة للطاعن لم تشكل جريمة جنائية </w:t>
      </w:r>
      <w:r w:rsidRPr="00170A58">
        <w:rPr>
          <w:rFonts w:ascii="Arial" w:hAnsi="Arial" w:cs="Arial" w:hint="cs"/>
          <w:sz w:val="32"/>
          <w:szCs w:val="32"/>
          <w:rtl/>
        </w:rPr>
        <w:t>باعتبار</w:t>
      </w:r>
      <w:r w:rsidRPr="00170A58">
        <w:rPr>
          <w:rFonts w:ascii="Arial" w:hAnsi="Arial" w:cs="Arial"/>
          <w:sz w:val="32"/>
          <w:szCs w:val="32"/>
          <w:rtl/>
        </w:rPr>
        <w:t xml:space="preserve"> أن ما نسب إليه من مخالفة تمثلت في (تراخيه أثناء توليه فترة رئاسة قطاع </w:t>
      </w:r>
      <w:r w:rsidRPr="00170A58">
        <w:rPr>
          <w:rFonts w:ascii="Arial" w:hAnsi="Arial" w:cs="Arial" w:hint="cs"/>
          <w:sz w:val="32"/>
          <w:szCs w:val="32"/>
          <w:rtl/>
        </w:rPr>
        <w:t>الاتحادات</w:t>
      </w:r>
      <w:r w:rsidRPr="00170A58">
        <w:rPr>
          <w:rFonts w:ascii="Arial" w:hAnsi="Arial" w:cs="Arial"/>
          <w:sz w:val="32"/>
          <w:szCs w:val="32"/>
          <w:rtl/>
        </w:rPr>
        <w:t xml:space="preserve"> الرياضية خلال الفترة من 7/10/2015 وحتي 18/4/2016 في تكليف الفاحصين بالقطاع بفحص أعمال الإتحاد المصري لكرة القدم ووضعه ضمن البرامج الشهرية للقطاع) الامر الذي تشكل معه هذه المخالفة محض مخالفة تأديبية، ومن ثم يكون الدفع المثار من الطاعن بسقوط المخالفة التأديبية بالتقادم يصادف صحيح القانون حرياً بالاعتداد به والتعويل عليه للقضاء بسقوط المخالفة المنسوبة للطاعن بالتقادم.</w:t>
      </w:r>
    </w:p>
    <w:p w:rsidR="00170A58" w:rsidRPr="00170A58" w:rsidRDefault="00170A58" w:rsidP="00170A58">
      <w:pPr>
        <w:bidi/>
        <w:spacing w:after="240"/>
        <w:ind w:left="-24" w:firstLine="567"/>
        <w:jc w:val="lowKashida"/>
        <w:rPr>
          <w:rFonts w:ascii="Arial" w:hAnsi="Arial" w:cs="Arial"/>
          <w:sz w:val="32"/>
          <w:szCs w:val="32"/>
          <w:rtl/>
        </w:rPr>
      </w:pPr>
      <w:r w:rsidRPr="00170A58">
        <w:rPr>
          <w:rFonts w:ascii="Arial" w:hAnsi="Arial" w:cs="Arial"/>
          <w:sz w:val="32"/>
          <w:szCs w:val="32"/>
          <w:rtl/>
        </w:rPr>
        <w:t xml:space="preserve">وإذ صدر القرار المطعون عليه رقم 1709 لسنة 2021 متضمناً مجازاة الطاعن بعقوبة التنبيه </w:t>
      </w:r>
      <w:r w:rsidRPr="00170A58">
        <w:rPr>
          <w:rFonts w:ascii="Arial" w:hAnsi="Arial" w:cs="Arial" w:hint="cs"/>
          <w:sz w:val="32"/>
          <w:szCs w:val="32"/>
          <w:rtl/>
        </w:rPr>
        <w:t>استنادا</w:t>
      </w:r>
      <w:r w:rsidRPr="00170A58">
        <w:rPr>
          <w:rFonts w:ascii="Arial" w:hAnsi="Arial" w:cs="Arial"/>
          <w:sz w:val="32"/>
          <w:szCs w:val="32"/>
          <w:rtl/>
        </w:rPr>
        <w:t xml:space="preserve"> الي التحقيق الإداري رقم 176 لسنة 2020 علي الرغم من مرور أكثر من ثلاث سنوات علي </w:t>
      </w:r>
      <w:r w:rsidRPr="00170A58">
        <w:rPr>
          <w:rFonts w:ascii="Arial" w:hAnsi="Arial" w:cs="Arial" w:hint="cs"/>
          <w:sz w:val="32"/>
          <w:szCs w:val="32"/>
          <w:rtl/>
        </w:rPr>
        <w:t>ارتكاب</w:t>
      </w:r>
      <w:r w:rsidRPr="00170A58">
        <w:rPr>
          <w:rFonts w:ascii="Arial" w:hAnsi="Arial" w:cs="Arial"/>
          <w:sz w:val="32"/>
          <w:szCs w:val="32"/>
          <w:rtl/>
        </w:rPr>
        <w:t xml:space="preserve"> الطاعن للمخالفة المنسوبة إليه وسقوطها من ثم بالتقادم، فإن هذا القرار يكون -والحالة تلك- غير قائماً علي صحيح سنده من القانون حرياً بالإلغاء . </w:t>
      </w:r>
    </w:p>
    <w:p w:rsidR="00170A58" w:rsidRPr="00170A58" w:rsidRDefault="00170A58" w:rsidP="00170A58">
      <w:pPr>
        <w:bidi/>
        <w:spacing w:before="40" w:after="240" w:line="192" w:lineRule="auto"/>
        <w:ind w:left="-24" w:firstLine="567"/>
        <w:jc w:val="both"/>
        <w:rPr>
          <w:rFonts w:ascii="Arial" w:hAnsi="Arial" w:cs="Arial"/>
          <w:sz w:val="32"/>
          <w:szCs w:val="32"/>
          <w:rtl/>
        </w:rPr>
      </w:pPr>
      <w:r w:rsidRPr="00170A58">
        <w:rPr>
          <w:rFonts w:ascii="Arial" w:hAnsi="Arial" w:cs="Arial"/>
          <w:sz w:val="32"/>
          <w:szCs w:val="32"/>
          <w:rtl/>
        </w:rPr>
        <w:t>ومن حيث إن من يخسر الدعوي يلزم بمصروفاتها عملاً بحكم المادة 184 مرافعات.</w:t>
      </w:r>
    </w:p>
    <w:p w:rsidR="00170A58" w:rsidRPr="00170A58" w:rsidRDefault="00170A58" w:rsidP="00170A58">
      <w:pPr>
        <w:bidi/>
        <w:spacing w:after="240"/>
        <w:ind w:left="-24"/>
        <w:jc w:val="center"/>
        <w:rPr>
          <w:rFonts w:ascii="Arial" w:hAnsi="Arial" w:cs="Arial"/>
          <w:b/>
          <w:bCs/>
          <w:sz w:val="32"/>
          <w:szCs w:val="32"/>
          <w:u w:val="single"/>
          <w:rtl/>
        </w:rPr>
      </w:pPr>
      <w:r w:rsidRPr="00170A58">
        <w:rPr>
          <w:rFonts w:ascii="Arial" w:hAnsi="Arial" w:cs="Arial"/>
          <w:b/>
          <w:bCs/>
          <w:sz w:val="32"/>
          <w:szCs w:val="32"/>
          <w:u w:val="single"/>
          <w:rtl/>
        </w:rPr>
        <w:t>فلهذه ال</w:t>
      </w:r>
      <w:r>
        <w:rPr>
          <w:rFonts w:ascii="Arial" w:hAnsi="Arial" w:cs="Arial" w:hint="cs"/>
          <w:b/>
          <w:bCs/>
          <w:sz w:val="32"/>
          <w:szCs w:val="32"/>
          <w:u w:val="single"/>
          <w:rtl/>
        </w:rPr>
        <w:t>أ</w:t>
      </w:r>
      <w:r w:rsidRPr="00170A58">
        <w:rPr>
          <w:rFonts w:ascii="Arial" w:hAnsi="Arial" w:cs="Arial"/>
          <w:b/>
          <w:bCs/>
          <w:sz w:val="32"/>
          <w:szCs w:val="32"/>
          <w:u w:val="single"/>
          <w:rtl/>
        </w:rPr>
        <w:t>سباب</w:t>
      </w:r>
    </w:p>
    <w:p w:rsidR="00A6000E" w:rsidRPr="00170A58" w:rsidRDefault="00170A58" w:rsidP="00170A58">
      <w:pPr>
        <w:bidi/>
        <w:spacing w:after="240"/>
        <w:ind w:left="-24" w:firstLine="567"/>
        <w:jc w:val="both"/>
        <w:rPr>
          <w:rFonts w:ascii="Arial" w:hAnsi="Arial" w:cs="Arial"/>
          <w:sz w:val="32"/>
          <w:szCs w:val="32"/>
          <w:rtl/>
        </w:rPr>
      </w:pPr>
      <w:r w:rsidRPr="00170A58">
        <w:rPr>
          <w:rFonts w:ascii="Arial" w:hAnsi="Arial" w:cs="Arial"/>
          <w:sz w:val="32"/>
          <w:szCs w:val="32"/>
          <w:rtl/>
        </w:rPr>
        <w:t xml:space="preserve">حكمت المحكمة :- بقبول الطعن شكلاً، وفي الموضوع بإلغاء القرار المطعون عليه رقم 1709 لسنة 2021 الصادر من رئيس الجهاز المركزي للمحاسبات فيما تضمنه من مجازاة الطاعن بعقوبة التنبيه، وذلك علي النحو المبين </w:t>
      </w:r>
      <w:r w:rsidRPr="00170A58">
        <w:rPr>
          <w:rFonts w:ascii="Arial" w:hAnsi="Arial" w:cs="Arial" w:hint="cs"/>
          <w:sz w:val="32"/>
          <w:szCs w:val="32"/>
          <w:rtl/>
        </w:rPr>
        <w:t>بالأسباب</w:t>
      </w:r>
      <w:r w:rsidRPr="00170A58">
        <w:rPr>
          <w:rFonts w:ascii="Arial" w:hAnsi="Arial" w:cs="Arial"/>
          <w:sz w:val="32"/>
          <w:szCs w:val="32"/>
          <w:rtl/>
        </w:rPr>
        <w:t>، مع ما يترتب علي ذلك من أثار وألزمت الجهاز المطعون ضده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D10B91" w:rsidRDefault="00D10B91" w:rsidP="00D10B91">
      <w:pPr>
        <w:bidi/>
        <w:jc w:val="center"/>
        <w:rPr>
          <w:rFonts w:ascii="Arial" w:hAnsi="Arial" w:cs="Arial" w:hint="cs"/>
          <w:b/>
          <w:bCs/>
          <w:sz w:val="16"/>
          <w:szCs w:val="16"/>
          <w:rtl/>
        </w:rPr>
      </w:pPr>
    </w:p>
    <w:p w:rsidR="00D10B91" w:rsidRDefault="00D10B91" w:rsidP="00D10B91">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150" w:rsidRDefault="00861150">
      <w:r>
        <w:separator/>
      </w:r>
    </w:p>
  </w:endnote>
  <w:endnote w:type="continuationSeparator" w:id="1">
    <w:p w:rsidR="00861150" w:rsidRDefault="00861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E57F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E57F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10B91">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150" w:rsidRDefault="00861150">
      <w:r>
        <w:separator/>
      </w:r>
    </w:p>
  </w:footnote>
  <w:footnote w:type="continuationSeparator" w:id="1">
    <w:p w:rsidR="00861150" w:rsidRDefault="00861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70A58">
          <w:rPr>
            <w:rFonts w:hint="cs"/>
            <w:sz w:val="28"/>
            <w:szCs w:val="28"/>
            <w:u w:val="single"/>
            <w:rtl/>
            <w:lang w:bidi="ar-EG"/>
          </w:rPr>
          <w:t>في الطعن رقم 15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096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0A58"/>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7FE"/>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4BB7"/>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4B4"/>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150"/>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4E03"/>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0B91"/>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11384972">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F33B4"/>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DC2EF5"/>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1115</Words>
  <Characters>6358</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68</cp:revision>
  <cp:lastPrinted>2019-10-26T08:39:00Z</cp:lastPrinted>
  <dcterms:created xsi:type="dcterms:W3CDTF">2019-09-24T23:17:00Z</dcterms:created>
  <dcterms:modified xsi:type="dcterms:W3CDTF">2020-04-11T03:11:00Z</dcterms:modified>
  <cp:contentStatus>في الطعن رقم 15 لسنة 56 ق.</cp:contentStatus>
</cp:coreProperties>
</file>